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82B19" w14:textId="75EA2F79" w:rsidR="00F5516B" w:rsidRDefault="008A513B">
      <w:pPr>
        <w:jc w:val="center"/>
        <w:rPr>
          <w:rFonts w:ascii="Times New Roman" w:eastAsia="Times New Roman" w:hAnsi="Times New Roman" w:cs="Times New Roman"/>
          <w:b/>
        </w:rPr>
      </w:pPr>
      <w:r>
        <w:rPr>
          <w:rFonts w:ascii="Times New Roman" w:eastAsia="Times New Roman" w:hAnsi="Times New Roman" w:cs="Times New Roman"/>
          <w:b/>
        </w:rPr>
        <w:t>Interactions entre les actions des élèves et les caractéristiques de la manipulation lorsqu’ils résolvent une tâche en arithmétique</w:t>
      </w:r>
      <w:r w:rsidR="00FC6AE4">
        <w:rPr>
          <w:rStyle w:val="Appelnotedebasdep"/>
          <w:rFonts w:ascii="Times New Roman" w:eastAsia="Times New Roman" w:hAnsi="Times New Roman" w:cs="Times New Roman"/>
          <w:b/>
        </w:rPr>
        <w:footnoteReference w:id="1"/>
      </w:r>
    </w:p>
    <w:p w14:paraId="34582B1A" w14:textId="77777777" w:rsidR="00F5516B" w:rsidRDefault="00F5516B">
      <w:pPr>
        <w:jc w:val="center"/>
        <w:rPr>
          <w:rFonts w:ascii="Times New Roman" w:eastAsia="Times New Roman" w:hAnsi="Times New Roman" w:cs="Times New Roman"/>
          <w:b/>
        </w:rPr>
      </w:pPr>
    </w:p>
    <w:p w14:paraId="34582B1B" w14:textId="77777777" w:rsidR="00F5516B" w:rsidRDefault="008A513B">
      <w:pPr>
        <w:jc w:val="both"/>
        <w:rPr>
          <w:rFonts w:ascii="Times New Roman" w:eastAsia="Times New Roman" w:hAnsi="Times New Roman" w:cs="Times New Roman"/>
          <w:i/>
        </w:rPr>
      </w:pPr>
      <w:r>
        <w:rPr>
          <w:rFonts w:ascii="Times New Roman" w:eastAsia="Times New Roman" w:hAnsi="Times New Roman" w:cs="Times New Roman"/>
          <w:i/>
        </w:rPr>
        <w:t xml:space="preserve">Dans ce texte, nous explorons l’utilisation du matériel de manipulation en classe pour améliorer le sens du nombre </w:t>
      </w:r>
      <w:r w:rsidRPr="004832ED">
        <w:rPr>
          <w:rFonts w:ascii="Times New Roman" w:eastAsia="Times New Roman" w:hAnsi="Times New Roman" w:cs="Times New Roman"/>
          <w:i/>
        </w:rPr>
        <w:t>à traver</w:t>
      </w:r>
      <w:r w:rsidRPr="004832ED">
        <w:rPr>
          <w:rFonts w:ascii="Times New Roman" w:eastAsia="Times New Roman" w:hAnsi="Times New Roman" w:cs="Times New Roman"/>
          <w:i/>
        </w:rPr>
        <w:t xml:space="preserve">s </w:t>
      </w:r>
      <w:r w:rsidRPr="004832ED">
        <w:rPr>
          <w:rFonts w:ascii="Times New Roman" w:eastAsia="Times New Roman" w:hAnsi="Times New Roman" w:cs="Times New Roman"/>
          <w:i/>
        </w:rPr>
        <w:t>le concept d’affordance</w:t>
      </w:r>
      <w:r w:rsidRPr="004832ED">
        <w:rPr>
          <w:rFonts w:ascii="Times New Roman" w:eastAsia="Times New Roman" w:hAnsi="Times New Roman" w:cs="Times New Roman"/>
          <w:i/>
        </w:rPr>
        <w:t>. Le matériel</w:t>
      </w:r>
      <w:r>
        <w:rPr>
          <w:rFonts w:ascii="Times New Roman" w:eastAsia="Times New Roman" w:hAnsi="Times New Roman" w:cs="Times New Roman"/>
          <w:i/>
        </w:rPr>
        <w:t xml:space="preserve"> de manipulation fait partie de la culture de la classe primaire dans différents pays. Même si plusieurs études remettent en question l’efficacité du matériel de manipulation, il semble y avoir un consensus autour d</w:t>
      </w:r>
      <w:r>
        <w:rPr>
          <w:rFonts w:ascii="Times New Roman" w:eastAsia="Times New Roman" w:hAnsi="Times New Roman" w:cs="Times New Roman"/>
          <w:i/>
        </w:rPr>
        <w:t xml:space="preserve">e la nécessité de l’utiliser. Toutefois, très peu d’information est disponible sur la façon donc les mathématiques sont faites avec le matériel de manipulation. L’analyse de l’activité d’une classe aide à mettre en lumière différentes </w:t>
      </w:r>
      <w:r w:rsidRPr="004832ED">
        <w:rPr>
          <w:rFonts w:ascii="Times New Roman" w:eastAsia="Times New Roman" w:hAnsi="Times New Roman" w:cs="Times New Roman"/>
          <w:i/>
        </w:rPr>
        <w:t>affordances</w:t>
      </w:r>
      <w:r>
        <w:rPr>
          <w:rFonts w:ascii="Times New Roman" w:eastAsia="Times New Roman" w:hAnsi="Times New Roman" w:cs="Times New Roman"/>
          <w:i/>
        </w:rPr>
        <w:t xml:space="preserve"> de deux m</w:t>
      </w:r>
      <w:r>
        <w:rPr>
          <w:rFonts w:ascii="Times New Roman" w:eastAsia="Times New Roman" w:hAnsi="Times New Roman" w:cs="Times New Roman"/>
          <w:i/>
        </w:rPr>
        <w:t>atériels : les blocs de base dix et l’abaque, dans un contexte de classe où les opérations d’addition et de soustraction sont explorées avec les élèves.</w:t>
      </w:r>
    </w:p>
    <w:p w14:paraId="34582B1C" w14:textId="77777777" w:rsidR="00F5516B" w:rsidRDefault="00F5516B">
      <w:pPr>
        <w:jc w:val="both"/>
        <w:rPr>
          <w:rFonts w:ascii="Times New Roman" w:eastAsia="Times New Roman" w:hAnsi="Times New Roman" w:cs="Times New Roman"/>
          <w:b/>
          <w:i/>
        </w:rPr>
      </w:pPr>
    </w:p>
    <w:p w14:paraId="34582B1D" w14:textId="77777777" w:rsidR="00F5516B" w:rsidRDefault="008A513B">
      <w:pPr>
        <w:jc w:val="both"/>
        <w:rPr>
          <w:rFonts w:ascii="Times New Roman" w:eastAsia="Times New Roman" w:hAnsi="Times New Roman" w:cs="Times New Roman"/>
          <w:b/>
        </w:rPr>
      </w:pPr>
      <w:r>
        <w:rPr>
          <w:rFonts w:ascii="Times New Roman" w:eastAsia="Times New Roman" w:hAnsi="Times New Roman" w:cs="Times New Roman"/>
          <w:b/>
        </w:rPr>
        <w:t>Introduction</w:t>
      </w:r>
    </w:p>
    <w:p w14:paraId="34582B1E" w14:textId="77777777" w:rsidR="00F5516B" w:rsidRDefault="008A513B">
      <w:pPr>
        <w:jc w:val="both"/>
        <w:rPr>
          <w:rFonts w:ascii="Times New Roman" w:eastAsia="Times New Roman" w:hAnsi="Times New Roman" w:cs="Times New Roman"/>
        </w:rPr>
      </w:pPr>
      <w:r>
        <w:rPr>
          <w:rFonts w:ascii="Times New Roman" w:eastAsia="Times New Roman" w:hAnsi="Times New Roman" w:cs="Times New Roman"/>
        </w:rPr>
        <w:t>La recherche et les communautés en enseignement des mathématiques au primaire s’entendent</w:t>
      </w:r>
      <w:r>
        <w:rPr>
          <w:rFonts w:ascii="Times New Roman" w:eastAsia="Times New Roman" w:hAnsi="Times New Roman" w:cs="Times New Roman"/>
        </w:rPr>
        <w:t xml:space="preserve"> pour dire que l’utilisation du matériel de manipulation est nécessaire pour permettre l’apprentissage des élèves (Moyer, 2001, MEQ, 2006). Les objets mathématiques sont considérés par certains comme étant trop abstraits pour les élèves du primaire. Certai</w:t>
      </w:r>
      <w:r>
        <w:rPr>
          <w:rFonts w:ascii="Times New Roman" w:eastAsia="Times New Roman" w:hAnsi="Times New Roman" w:cs="Times New Roman"/>
        </w:rPr>
        <w:t>ns chercheurs voient l’utilisation du matériel de manipulation comme étant une façon moins abstraite de raisonner qu’avec des symboles mathématiques formels (</w:t>
      </w:r>
      <w:proofErr w:type="spellStart"/>
      <w:r>
        <w:rPr>
          <w:rFonts w:ascii="Times New Roman" w:eastAsia="Times New Roman" w:hAnsi="Times New Roman" w:cs="Times New Roman"/>
        </w:rPr>
        <w:t>Lett</w:t>
      </w:r>
      <w:proofErr w:type="spellEnd"/>
      <w:r>
        <w:rPr>
          <w:rFonts w:ascii="Times New Roman" w:eastAsia="Times New Roman" w:hAnsi="Times New Roman" w:cs="Times New Roman"/>
        </w:rPr>
        <w:t xml:space="preserve">, 2007, </w:t>
      </w:r>
      <w:proofErr w:type="spellStart"/>
      <w:r>
        <w:rPr>
          <w:rFonts w:ascii="Times New Roman" w:eastAsia="Times New Roman" w:hAnsi="Times New Roman" w:cs="Times New Roman"/>
        </w:rPr>
        <w:t>Özgün-Koca</w:t>
      </w:r>
      <w:proofErr w:type="spellEnd"/>
      <w:r>
        <w:rPr>
          <w:rFonts w:ascii="Times New Roman" w:eastAsia="Times New Roman" w:hAnsi="Times New Roman" w:cs="Times New Roman"/>
        </w:rPr>
        <w:t xml:space="preserve"> and Edwards, 2011). Selon Domino (2010), la majorité du travail qui support</w:t>
      </w:r>
      <w:r>
        <w:rPr>
          <w:rFonts w:ascii="Times New Roman" w:eastAsia="Times New Roman" w:hAnsi="Times New Roman" w:cs="Times New Roman"/>
        </w:rPr>
        <w:t xml:space="preserve">e l’utilisation du matériel de manipulation est basé sur les théories de Piaget (1964), Bruner (1977) et Diènes (1973). Ces théories de l’apprentissage sont basées sur l’idée que le matériel est nécessaire pour le développement des images mentales que les </w:t>
      </w:r>
      <w:r>
        <w:rPr>
          <w:rFonts w:ascii="Times New Roman" w:eastAsia="Times New Roman" w:hAnsi="Times New Roman" w:cs="Times New Roman"/>
        </w:rPr>
        <w:t>élèves peuvent éventuellement convoquer dans des situations sans matériel. D’une certaine façon, le besoin et les bénéfices de l’utilisation du matériel de manipulation semblent être tenus pour acquis par plusieurs chercheurs.</w:t>
      </w:r>
    </w:p>
    <w:p w14:paraId="34582B1F" w14:textId="77777777" w:rsidR="00F5516B" w:rsidRDefault="008A513B">
      <w:pPr>
        <w:pBdr>
          <w:top w:val="nil"/>
          <w:left w:val="nil"/>
          <w:bottom w:val="nil"/>
          <w:right w:val="nil"/>
          <w:between w:val="nil"/>
        </w:pBdr>
        <w:spacing w:after="0" w:line="240" w:lineRule="auto"/>
        <w:jc w:val="both"/>
        <w:rPr>
          <w:rFonts w:ascii="Times New Roman" w:eastAsia="Times New Roman" w:hAnsi="Times New Roman" w:cs="Times New Roman"/>
          <w:color w:val="212121"/>
        </w:rPr>
      </w:pPr>
      <w:r>
        <w:rPr>
          <w:rFonts w:ascii="Times New Roman" w:eastAsia="Times New Roman" w:hAnsi="Times New Roman" w:cs="Times New Roman"/>
          <w:color w:val="212121"/>
        </w:rPr>
        <w:t>Pourtant, d’autres courants e</w:t>
      </w:r>
      <w:r>
        <w:rPr>
          <w:rFonts w:ascii="Times New Roman" w:eastAsia="Times New Roman" w:hAnsi="Times New Roman" w:cs="Times New Roman"/>
          <w:color w:val="212121"/>
        </w:rPr>
        <w:t>nvisagent autrement l’apprentissage des mathématiques. Par exemple, la recherche montre que les mathématiques sont structurées par le contexte dans lequel elles sont faites (</w:t>
      </w:r>
      <w:proofErr w:type="spellStart"/>
      <w:r>
        <w:rPr>
          <w:rFonts w:ascii="Times New Roman" w:eastAsia="Times New Roman" w:hAnsi="Times New Roman" w:cs="Times New Roman"/>
          <w:color w:val="212121"/>
        </w:rPr>
        <w:t>e.g</w:t>
      </w:r>
      <w:proofErr w:type="spellEnd"/>
      <w:r>
        <w:rPr>
          <w:rFonts w:ascii="Times New Roman" w:eastAsia="Times New Roman" w:hAnsi="Times New Roman" w:cs="Times New Roman"/>
          <w:color w:val="212121"/>
        </w:rPr>
        <w:t xml:space="preserve">. Lave, 1988, </w:t>
      </w:r>
      <w:proofErr w:type="spellStart"/>
      <w:r>
        <w:rPr>
          <w:rFonts w:ascii="Times New Roman" w:eastAsia="Times New Roman" w:hAnsi="Times New Roman" w:cs="Times New Roman"/>
          <w:color w:val="212121"/>
        </w:rPr>
        <w:t>Nunès</w:t>
      </w:r>
      <w:proofErr w:type="spellEnd"/>
      <w:r>
        <w:rPr>
          <w:rFonts w:ascii="Times New Roman" w:eastAsia="Times New Roman" w:hAnsi="Times New Roman" w:cs="Times New Roman"/>
          <w:color w:val="212121"/>
        </w:rPr>
        <w:t xml:space="preserve">, Schliemann and </w:t>
      </w:r>
      <w:proofErr w:type="spellStart"/>
      <w:r>
        <w:rPr>
          <w:rFonts w:ascii="Times New Roman" w:eastAsia="Times New Roman" w:hAnsi="Times New Roman" w:cs="Times New Roman"/>
          <w:color w:val="212121"/>
        </w:rPr>
        <w:t>Carraher</w:t>
      </w:r>
      <w:proofErr w:type="spellEnd"/>
      <w:r>
        <w:rPr>
          <w:rFonts w:ascii="Times New Roman" w:eastAsia="Times New Roman" w:hAnsi="Times New Roman" w:cs="Times New Roman"/>
          <w:color w:val="212121"/>
        </w:rPr>
        <w:t>, 1993).  Ces études, en grande par</w:t>
      </w:r>
      <w:r>
        <w:rPr>
          <w:rFonts w:ascii="Times New Roman" w:eastAsia="Times New Roman" w:hAnsi="Times New Roman" w:cs="Times New Roman"/>
          <w:color w:val="212121"/>
        </w:rPr>
        <w:t>tie réalisées dans un contexte non scolaire, soulignent que le savoir mathématique est situé</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Noss</w:t>
      </w:r>
      <w:proofErr w:type="spellEnd"/>
      <w:r>
        <w:rPr>
          <w:rFonts w:ascii="Times New Roman" w:eastAsia="Times New Roman" w:hAnsi="Times New Roman" w:cs="Times New Roman"/>
          <w:color w:val="000000"/>
        </w:rPr>
        <w:t>, 2002).</w:t>
      </w:r>
      <w:r>
        <w:rPr>
          <w:rFonts w:ascii="Times New Roman" w:eastAsia="Times New Roman" w:hAnsi="Times New Roman" w:cs="Times New Roman"/>
          <w:color w:val="212121"/>
        </w:rPr>
        <w:t xml:space="preserve"> Par exemple, </w:t>
      </w:r>
      <w:proofErr w:type="spellStart"/>
      <w:r>
        <w:rPr>
          <w:rFonts w:ascii="Times New Roman" w:eastAsia="Times New Roman" w:hAnsi="Times New Roman" w:cs="Times New Roman"/>
          <w:color w:val="212121"/>
        </w:rPr>
        <w:t>Pozzi</w:t>
      </w:r>
      <w:proofErr w:type="spellEnd"/>
      <w:r>
        <w:rPr>
          <w:rFonts w:ascii="Times New Roman" w:eastAsia="Times New Roman" w:hAnsi="Times New Roman" w:cs="Times New Roman"/>
          <w:color w:val="212121"/>
        </w:rPr>
        <w:t xml:space="preserve">, </w:t>
      </w:r>
      <w:proofErr w:type="spellStart"/>
      <w:r>
        <w:rPr>
          <w:rFonts w:ascii="Times New Roman" w:eastAsia="Times New Roman" w:hAnsi="Times New Roman" w:cs="Times New Roman"/>
          <w:color w:val="212121"/>
        </w:rPr>
        <w:t>Noss</w:t>
      </w:r>
      <w:proofErr w:type="spellEnd"/>
      <w:r>
        <w:rPr>
          <w:rFonts w:ascii="Times New Roman" w:eastAsia="Times New Roman" w:hAnsi="Times New Roman" w:cs="Times New Roman"/>
          <w:color w:val="212121"/>
        </w:rPr>
        <w:t xml:space="preserve"> et </w:t>
      </w:r>
      <w:proofErr w:type="spellStart"/>
      <w:r>
        <w:rPr>
          <w:rFonts w:ascii="Times New Roman" w:eastAsia="Times New Roman" w:hAnsi="Times New Roman" w:cs="Times New Roman"/>
          <w:color w:val="212121"/>
        </w:rPr>
        <w:t>Hoyles</w:t>
      </w:r>
      <w:proofErr w:type="spellEnd"/>
      <w:r>
        <w:rPr>
          <w:rFonts w:ascii="Times New Roman" w:eastAsia="Times New Roman" w:hAnsi="Times New Roman" w:cs="Times New Roman"/>
          <w:color w:val="212121"/>
        </w:rPr>
        <w:t xml:space="preserve"> (1998) mentionnent que dans le contexte professionnel (infirmiers, banquiers, ingénieurs, etc.), les outils et les</w:t>
      </w:r>
      <w:r>
        <w:rPr>
          <w:rFonts w:ascii="Times New Roman" w:eastAsia="Times New Roman" w:hAnsi="Times New Roman" w:cs="Times New Roman"/>
          <w:color w:val="212121"/>
        </w:rPr>
        <w:t xml:space="preserve"> objets disponibles aux acteurs façonnent leur activité mathématique. En d’autres mots, le raisonnement mathématique est développé en coordination avec le </w:t>
      </w:r>
      <w:r>
        <w:rPr>
          <w:rFonts w:ascii="Times New Roman" w:eastAsia="Times New Roman" w:hAnsi="Times New Roman" w:cs="Times New Roman"/>
          <w:color w:val="212121"/>
        </w:rPr>
        <w:t>“</w:t>
      </w:r>
      <w:r>
        <w:rPr>
          <w:rFonts w:ascii="Times New Roman" w:eastAsia="Times New Roman" w:hAnsi="Times New Roman" w:cs="Times New Roman"/>
          <w:color w:val="212121"/>
        </w:rPr>
        <w:t>bruit</w:t>
      </w:r>
      <w:r>
        <w:rPr>
          <w:rFonts w:ascii="Times New Roman" w:eastAsia="Times New Roman" w:hAnsi="Times New Roman" w:cs="Times New Roman"/>
          <w:color w:val="212121"/>
        </w:rPr>
        <w:t>”</w:t>
      </w:r>
      <w:r>
        <w:rPr>
          <w:rFonts w:ascii="Times New Roman" w:eastAsia="Times New Roman" w:hAnsi="Times New Roman" w:cs="Times New Roman"/>
          <w:color w:val="212121"/>
        </w:rPr>
        <w:t xml:space="preserve"> des situations dans lesquelles il prend place (</w:t>
      </w:r>
      <w:proofErr w:type="spellStart"/>
      <w:r>
        <w:rPr>
          <w:rFonts w:ascii="Times New Roman" w:eastAsia="Times New Roman" w:hAnsi="Times New Roman" w:cs="Times New Roman"/>
          <w:color w:val="212121"/>
        </w:rPr>
        <w:t>Noss</w:t>
      </w:r>
      <w:proofErr w:type="spellEnd"/>
      <w:r>
        <w:rPr>
          <w:rFonts w:ascii="Times New Roman" w:eastAsia="Times New Roman" w:hAnsi="Times New Roman" w:cs="Times New Roman"/>
          <w:color w:val="212121"/>
        </w:rPr>
        <w:t>, 2002). Dans cette perspective, faire des mathématiques avec du matériel de manipulation pourrait être différent d’une version concrète de faire des mathématiques sans matériel (</w:t>
      </w:r>
      <w:proofErr w:type="spellStart"/>
      <w:r>
        <w:rPr>
          <w:rFonts w:ascii="Times New Roman" w:eastAsia="Times New Roman" w:hAnsi="Times New Roman" w:cs="Times New Roman"/>
          <w:color w:val="212121"/>
        </w:rPr>
        <w:t>Corriveau</w:t>
      </w:r>
      <w:proofErr w:type="spellEnd"/>
      <w:r>
        <w:rPr>
          <w:rFonts w:ascii="Times New Roman" w:eastAsia="Times New Roman" w:hAnsi="Times New Roman" w:cs="Times New Roman"/>
          <w:color w:val="212121"/>
        </w:rPr>
        <w:t xml:space="preserve"> et </w:t>
      </w:r>
      <w:proofErr w:type="spellStart"/>
      <w:r>
        <w:rPr>
          <w:rFonts w:ascii="Times New Roman" w:eastAsia="Times New Roman" w:hAnsi="Times New Roman" w:cs="Times New Roman"/>
          <w:color w:val="212121"/>
        </w:rPr>
        <w:t>Jeannotte</w:t>
      </w:r>
      <w:proofErr w:type="spellEnd"/>
      <w:r>
        <w:rPr>
          <w:rFonts w:ascii="Times New Roman" w:eastAsia="Times New Roman" w:hAnsi="Times New Roman" w:cs="Times New Roman"/>
          <w:color w:val="212121"/>
        </w:rPr>
        <w:t>, 2</w:t>
      </w:r>
      <w:r>
        <w:rPr>
          <w:rFonts w:ascii="Times New Roman" w:eastAsia="Times New Roman" w:hAnsi="Times New Roman" w:cs="Times New Roman"/>
          <w:color w:val="212121"/>
        </w:rPr>
        <w:t xml:space="preserve">015). </w:t>
      </w:r>
      <w:proofErr w:type="spellStart"/>
      <w:r>
        <w:rPr>
          <w:rFonts w:ascii="Times New Roman" w:eastAsia="Times New Roman" w:hAnsi="Times New Roman" w:cs="Times New Roman"/>
          <w:color w:val="212121"/>
        </w:rPr>
        <w:t>Kosko</w:t>
      </w:r>
      <w:proofErr w:type="spellEnd"/>
      <w:r>
        <w:rPr>
          <w:rFonts w:ascii="Times New Roman" w:eastAsia="Times New Roman" w:hAnsi="Times New Roman" w:cs="Times New Roman"/>
          <w:color w:val="212121"/>
        </w:rPr>
        <w:t xml:space="preserve"> et Wilkins (2010) ont été capables de montrer que l’utilisation de matériel de manipulation teinte le discours qui est développé en l’utilisant. Nous pouvons penser que le fait de faire des mathématiques avec ou sans matériel de manipulation n’</w:t>
      </w:r>
      <w:r>
        <w:rPr>
          <w:rFonts w:ascii="Times New Roman" w:eastAsia="Times New Roman" w:hAnsi="Times New Roman" w:cs="Times New Roman"/>
          <w:color w:val="212121"/>
        </w:rPr>
        <w:t xml:space="preserve">est pas la même activité. En partant de cette </w:t>
      </w:r>
      <w:proofErr w:type="gramStart"/>
      <w:r>
        <w:rPr>
          <w:rFonts w:ascii="Times New Roman" w:eastAsia="Times New Roman" w:hAnsi="Times New Roman" w:cs="Times New Roman"/>
          <w:color w:val="212121"/>
        </w:rPr>
        <w:t>prémisse</w:t>
      </w:r>
      <w:proofErr w:type="gramEnd"/>
      <w:r>
        <w:rPr>
          <w:rFonts w:ascii="Times New Roman" w:eastAsia="Times New Roman" w:hAnsi="Times New Roman" w:cs="Times New Roman"/>
          <w:color w:val="212121"/>
        </w:rPr>
        <w:t xml:space="preserve">, nous avons développé un projet nommé </w:t>
      </w:r>
      <w:proofErr w:type="spellStart"/>
      <w:r>
        <w:rPr>
          <w:rFonts w:ascii="Times New Roman" w:eastAsia="Times New Roman" w:hAnsi="Times New Roman" w:cs="Times New Roman"/>
          <w:i/>
          <w:color w:val="212121"/>
        </w:rPr>
        <w:t>MathéRéaliser</w:t>
      </w:r>
      <w:proofErr w:type="spellEnd"/>
      <w:r>
        <w:rPr>
          <w:rFonts w:ascii="Times New Roman" w:eastAsia="Times New Roman" w:hAnsi="Times New Roman" w:cs="Times New Roman"/>
          <w:i/>
          <w:color w:val="212121"/>
          <w:vertAlign w:val="superscript"/>
        </w:rPr>
        <w:footnoteReference w:id="2"/>
      </w:r>
      <w:r>
        <w:rPr>
          <w:rFonts w:ascii="Times New Roman" w:eastAsia="Times New Roman" w:hAnsi="Times New Roman" w:cs="Times New Roman"/>
          <w:i/>
          <w:color w:val="212121"/>
        </w:rPr>
        <w:t xml:space="preserve"> </w:t>
      </w:r>
      <w:r>
        <w:rPr>
          <w:rFonts w:ascii="Times New Roman" w:eastAsia="Times New Roman" w:hAnsi="Times New Roman" w:cs="Times New Roman"/>
          <w:color w:val="212121"/>
        </w:rPr>
        <w:t>qui s’intéresse à la compréhension de ce que c’est de faire des mathématiques avec du matériel de manipulation dans le contexte d’une classe.</w:t>
      </w:r>
    </w:p>
    <w:p w14:paraId="34582B20" w14:textId="77777777" w:rsidR="00F5516B" w:rsidRDefault="00F5516B">
      <w:pPr>
        <w:jc w:val="both"/>
        <w:rPr>
          <w:rFonts w:ascii="Times New Roman" w:eastAsia="Times New Roman" w:hAnsi="Times New Roman" w:cs="Times New Roman"/>
          <w:color w:val="000000"/>
          <w:vertAlign w:val="superscript"/>
        </w:rPr>
      </w:pPr>
    </w:p>
    <w:p w14:paraId="34582B21" w14:textId="77777777" w:rsidR="00F5516B" w:rsidRDefault="008A513B">
      <w:pPr>
        <w:jc w:val="both"/>
        <w:rPr>
          <w:rFonts w:ascii="Times New Roman" w:eastAsia="Times New Roman" w:hAnsi="Times New Roman" w:cs="Times New Roman"/>
        </w:rPr>
      </w:pPr>
      <w:r>
        <w:rPr>
          <w:rFonts w:ascii="Times New Roman" w:eastAsia="Times New Roman" w:hAnsi="Times New Roman" w:cs="Times New Roman"/>
        </w:rPr>
        <w:lastRenderedPageBreak/>
        <w:t>Dans</w:t>
      </w:r>
      <w:r>
        <w:rPr>
          <w:rFonts w:ascii="Times New Roman" w:eastAsia="Times New Roman" w:hAnsi="Times New Roman" w:cs="Times New Roman"/>
        </w:rPr>
        <w:t xml:space="preserve"> ce texte, nous cherchons à mieux comprendre ce que signifie faire des mathématiques avec du matériel de manipulation lors de l’apprentissage des nombres et de l'habileté de calcul au primaire. Pour ce faire, le concept </w:t>
      </w:r>
      <w:r w:rsidRPr="004832ED">
        <w:rPr>
          <w:rFonts w:ascii="Times New Roman" w:eastAsia="Times New Roman" w:hAnsi="Times New Roman" w:cs="Times New Roman"/>
        </w:rPr>
        <w:t>d’</w:t>
      </w:r>
      <w:r w:rsidRPr="004832ED">
        <w:rPr>
          <w:rFonts w:ascii="Times New Roman" w:eastAsia="Times New Roman" w:hAnsi="Times New Roman" w:cs="Times New Roman"/>
          <w:i/>
        </w:rPr>
        <w:t>affordance</w:t>
      </w:r>
      <w:r>
        <w:rPr>
          <w:rFonts w:ascii="Times New Roman" w:eastAsia="Times New Roman" w:hAnsi="Times New Roman" w:cs="Times New Roman"/>
          <w:i/>
        </w:rPr>
        <w:t xml:space="preserve"> </w:t>
      </w:r>
      <w:r>
        <w:rPr>
          <w:rFonts w:ascii="Times New Roman" w:eastAsia="Times New Roman" w:hAnsi="Times New Roman" w:cs="Times New Roman"/>
        </w:rPr>
        <w:t>est convoqué pour ident</w:t>
      </w:r>
      <w:r>
        <w:rPr>
          <w:rFonts w:ascii="Times New Roman" w:eastAsia="Times New Roman" w:hAnsi="Times New Roman" w:cs="Times New Roman"/>
        </w:rPr>
        <w:t xml:space="preserve">ifier le potentiel du matériel de manipulation lors de l’apprentissage du sens du nombre et des opérations arithmétiques. Avant de présenter l’analyse, nous présenterons les concepts </w:t>
      </w:r>
      <w:r w:rsidRPr="004832ED">
        <w:rPr>
          <w:rFonts w:ascii="Times New Roman" w:eastAsia="Times New Roman" w:hAnsi="Times New Roman" w:cs="Times New Roman"/>
        </w:rPr>
        <w:t>d’</w:t>
      </w:r>
      <w:r w:rsidRPr="004832ED">
        <w:rPr>
          <w:rFonts w:ascii="Times New Roman" w:eastAsia="Times New Roman" w:hAnsi="Times New Roman" w:cs="Times New Roman"/>
          <w:i/>
        </w:rPr>
        <w:t>affordance</w:t>
      </w:r>
      <w:r>
        <w:rPr>
          <w:rFonts w:ascii="Times New Roman" w:eastAsia="Times New Roman" w:hAnsi="Times New Roman" w:cs="Times New Roman"/>
          <w:i/>
        </w:rPr>
        <w:t xml:space="preserve">, </w:t>
      </w:r>
      <w:r>
        <w:rPr>
          <w:rFonts w:ascii="Times New Roman" w:eastAsia="Times New Roman" w:hAnsi="Times New Roman" w:cs="Times New Roman"/>
        </w:rPr>
        <w:t xml:space="preserve">de </w:t>
      </w:r>
      <w:r>
        <w:rPr>
          <w:rFonts w:ascii="Times New Roman" w:eastAsia="Times New Roman" w:hAnsi="Times New Roman" w:cs="Times New Roman"/>
          <w:i/>
        </w:rPr>
        <w:t xml:space="preserve">matériel de manipulation </w:t>
      </w:r>
      <w:r>
        <w:rPr>
          <w:rFonts w:ascii="Times New Roman" w:eastAsia="Times New Roman" w:hAnsi="Times New Roman" w:cs="Times New Roman"/>
        </w:rPr>
        <w:t>ainsi que quelques principes mé</w:t>
      </w:r>
      <w:r>
        <w:rPr>
          <w:rFonts w:ascii="Times New Roman" w:eastAsia="Times New Roman" w:hAnsi="Times New Roman" w:cs="Times New Roman"/>
        </w:rPr>
        <w:t>thodologiques. Une discussion suivra.</w:t>
      </w:r>
    </w:p>
    <w:p w14:paraId="34582B22" w14:textId="77777777" w:rsidR="00F5516B" w:rsidRDefault="008A513B">
      <w:pPr>
        <w:jc w:val="both"/>
        <w:rPr>
          <w:rFonts w:ascii="Times New Roman" w:eastAsia="Times New Roman" w:hAnsi="Times New Roman" w:cs="Times New Roman"/>
          <w:b/>
        </w:rPr>
      </w:pPr>
      <w:r>
        <w:rPr>
          <w:rFonts w:ascii="Times New Roman" w:eastAsia="Times New Roman" w:hAnsi="Times New Roman" w:cs="Times New Roman"/>
          <w:b/>
        </w:rPr>
        <w:t>Cadre conceptuel</w:t>
      </w:r>
    </w:p>
    <w:p w14:paraId="34582B23" w14:textId="77777777" w:rsidR="00F5516B" w:rsidRDefault="008A513B">
      <w:pPr>
        <w:jc w:val="both"/>
        <w:rPr>
          <w:rFonts w:ascii="Times New Roman" w:eastAsia="Times New Roman" w:hAnsi="Times New Roman" w:cs="Times New Roman"/>
        </w:rPr>
      </w:pPr>
      <w:r>
        <w:rPr>
          <w:rFonts w:ascii="Times New Roman" w:eastAsia="Times New Roman" w:hAnsi="Times New Roman" w:cs="Times New Roman"/>
        </w:rPr>
        <w:t xml:space="preserve">Deux concepts nous ont aidés à atteindre notre objectif : matériel de manipulation et </w:t>
      </w:r>
      <w:r w:rsidRPr="004832ED">
        <w:rPr>
          <w:rFonts w:ascii="Times New Roman" w:eastAsia="Times New Roman" w:hAnsi="Times New Roman" w:cs="Times New Roman"/>
        </w:rPr>
        <w:t>affordance</w:t>
      </w:r>
      <w:r>
        <w:rPr>
          <w:rFonts w:ascii="Times New Roman" w:eastAsia="Times New Roman" w:hAnsi="Times New Roman" w:cs="Times New Roman"/>
        </w:rPr>
        <w:t>.</w:t>
      </w:r>
    </w:p>
    <w:p w14:paraId="34582B24" w14:textId="77777777" w:rsidR="00F5516B" w:rsidRDefault="008A513B">
      <w:pPr>
        <w:jc w:val="both"/>
        <w:rPr>
          <w:rFonts w:ascii="Times New Roman" w:eastAsia="Times New Roman" w:hAnsi="Times New Roman" w:cs="Times New Roman"/>
          <w:b/>
        </w:rPr>
      </w:pPr>
      <w:r>
        <w:rPr>
          <w:rFonts w:ascii="Times New Roman" w:eastAsia="Times New Roman" w:hAnsi="Times New Roman" w:cs="Times New Roman"/>
          <w:b/>
        </w:rPr>
        <w:t>Matériel de manipulation</w:t>
      </w:r>
    </w:p>
    <w:p w14:paraId="34582B25" w14:textId="47BD553C" w:rsidR="00F5516B" w:rsidRDefault="008A513B">
      <w:pPr>
        <w:jc w:val="both"/>
        <w:rPr>
          <w:rFonts w:ascii="Times New Roman" w:eastAsia="Times New Roman" w:hAnsi="Times New Roman" w:cs="Times New Roman"/>
        </w:rPr>
      </w:pPr>
      <w:bookmarkStart w:id="0" w:name="_gjdgxs" w:colFirst="0" w:colLast="0"/>
      <w:bookmarkEnd w:id="0"/>
      <w:r>
        <w:rPr>
          <w:rFonts w:ascii="Times New Roman" w:eastAsia="Times New Roman" w:hAnsi="Times New Roman" w:cs="Times New Roman"/>
        </w:rPr>
        <w:t>Dans de nombreuses théories (</w:t>
      </w:r>
      <w:r>
        <w:rPr>
          <w:rFonts w:ascii="Times New Roman" w:eastAsia="Times New Roman" w:hAnsi="Times New Roman" w:cs="Times New Roman"/>
        </w:rPr>
        <w:t>p. ex. Piaget, 1964; Bruner, 1977), le matériel de manipulation joue un rôle important dans l’apprentissage des mathématiques pour aider à donner sens aux objets mathématiques. Ce rôle est habituellement compris comme l’idée q</w:t>
      </w:r>
      <w:r>
        <w:rPr>
          <w:rFonts w:ascii="Times New Roman" w:eastAsia="Times New Roman" w:hAnsi="Times New Roman" w:cs="Times New Roman"/>
        </w:rPr>
        <w:t xml:space="preserve">ue le matériel de manipulation permet aux mathématiques abstraites d’être plus concrètes. Ce rôle </w:t>
      </w:r>
      <w:r>
        <w:rPr>
          <w:rFonts w:ascii="Times New Roman" w:eastAsia="Times New Roman" w:hAnsi="Times New Roman" w:cs="Times New Roman"/>
        </w:rPr>
        <w:t>est souvent tenu pour acquis par les chercheurs et peu d’entre eux définissent ce qu’ils entendent par matériel de manipulation. Les définitions parlent surt</w:t>
      </w:r>
      <w:r>
        <w:rPr>
          <w:rFonts w:ascii="Times New Roman" w:eastAsia="Times New Roman" w:hAnsi="Times New Roman" w:cs="Times New Roman"/>
        </w:rPr>
        <w:t xml:space="preserve">out d’objets physiques tangibles, manipulables (p. ex. Swan, Marshall, 2010). Certains ajoutent qu’ils peuvent être </w:t>
      </w:r>
      <w:proofErr w:type="gramStart"/>
      <w:r>
        <w:rPr>
          <w:rFonts w:ascii="Times New Roman" w:eastAsia="Times New Roman" w:hAnsi="Times New Roman" w:cs="Times New Roman"/>
        </w:rPr>
        <w:t>maniés</w:t>
      </w:r>
      <w:proofErr w:type="gramEnd"/>
      <w:r>
        <w:rPr>
          <w:rFonts w:ascii="Times New Roman" w:eastAsia="Times New Roman" w:hAnsi="Times New Roman" w:cs="Times New Roman"/>
        </w:rPr>
        <w:t xml:space="preserve"> par les enfants et font une distinction avec les objets tangibles qui sont des outils pour l’enseignement (p. ex. Kennedy, 1986). D’a</w:t>
      </w:r>
      <w:r>
        <w:rPr>
          <w:rFonts w:ascii="Times New Roman" w:eastAsia="Times New Roman" w:hAnsi="Times New Roman" w:cs="Times New Roman"/>
        </w:rPr>
        <w:t xml:space="preserve">utres parlent de matériel de manipulation servant à modéliser un objet mathématique par une représentation externe (p. ex. Day &amp; </w:t>
      </w:r>
      <w:proofErr w:type="spellStart"/>
      <w:r>
        <w:rPr>
          <w:rFonts w:ascii="Times New Roman" w:eastAsia="Times New Roman" w:hAnsi="Times New Roman" w:cs="Times New Roman"/>
        </w:rPr>
        <w:t>Hurrell</w:t>
      </w:r>
      <w:proofErr w:type="spellEnd"/>
      <w:r>
        <w:rPr>
          <w:rFonts w:ascii="Times New Roman" w:eastAsia="Times New Roman" w:hAnsi="Times New Roman" w:cs="Times New Roman"/>
        </w:rPr>
        <w:t xml:space="preserve">, 2017). Ces définitions vont dans la même lignée que la vision de l’apprentissage des mathématiques qui est promu dans </w:t>
      </w:r>
      <w:r>
        <w:rPr>
          <w:rFonts w:ascii="Times New Roman" w:eastAsia="Times New Roman" w:hAnsi="Times New Roman" w:cs="Times New Roman"/>
        </w:rPr>
        <w:t xml:space="preserve">les théories mentionnées plus haut. Toutefois, elles ne s'alignent pas avec d’autres visions de l’enseignement des mathématiques où les activités cognitives ne signifient pas activités mentales (p. ex. </w:t>
      </w:r>
      <w:proofErr w:type="spellStart"/>
      <w:r>
        <w:rPr>
          <w:rFonts w:ascii="Times New Roman" w:eastAsia="Times New Roman" w:hAnsi="Times New Roman" w:cs="Times New Roman"/>
        </w:rPr>
        <w:t>Sfard</w:t>
      </w:r>
      <w:proofErr w:type="spellEnd"/>
      <w:r>
        <w:rPr>
          <w:rFonts w:ascii="Times New Roman" w:eastAsia="Times New Roman" w:hAnsi="Times New Roman" w:cs="Times New Roman"/>
        </w:rPr>
        <w:t>, 20018). D’un point de vue socioculturel, l’appr</w:t>
      </w:r>
      <w:r>
        <w:rPr>
          <w:rFonts w:ascii="Times New Roman" w:eastAsia="Times New Roman" w:hAnsi="Times New Roman" w:cs="Times New Roman"/>
        </w:rPr>
        <w:t>entissage des mathématiques est influencé par la culture historique de la communauté où l’apprentissage prend place et par la culture et l’expérience des apprenants eux-mêmes. Lorsqu’il est disponible pendant une activité mathématique, le matériel de manip</w:t>
      </w:r>
      <w:r>
        <w:rPr>
          <w:rFonts w:ascii="Times New Roman" w:eastAsia="Times New Roman" w:hAnsi="Times New Roman" w:cs="Times New Roman"/>
        </w:rPr>
        <w:t>ulation est porteur d’une certaine culture et teinte l’expérience de l'apprenant.</w:t>
      </w:r>
    </w:p>
    <w:p w14:paraId="34582B26" w14:textId="77777777" w:rsidR="00F5516B" w:rsidRDefault="008A513B">
      <w:pPr>
        <w:jc w:val="both"/>
        <w:rPr>
          <w:rFonts w:ascii="Times New Roman" w:eastAsia="Times New Roman" w:hAnsi="Times New Roman" w:cs="Times New Roman"/>
        </w:rPr>
      </w:pPr>
      <w:bookmarkStart w:id="1" w:name="_90e5tyqqh980" w:colFirst="0" w:colLast="0"/>
      <w:bookmarkEnd w:id="1"/>
      <w:r>
        <w:rPr>
          <w:rFonts w:ascii="Times New Roman" w:eastAsia="Times New Roman" w:hAnsi="Times New Roman" w:cs="Times New Roman"/>
        </w:rPr>
        <w:t>Dans le contexte du sens du nombre et du calcul, une abondance de matériel de manipulation est disponible pour l’école primaire. Poirier (2001) a classifié le matériel de man</w:t>
      </w:r>
      <w:r>
        <w:rPr>
          <w:rFonts w:ascii="Times New Roman" w:eastAsia="Times New Roman" w:hAnsi="Times New Roman" w:cs="Times New Roman"/>
        </w:rPr>
        <w:t>ipulation utilisé pour développer le sens du nombre en trois catégories. La première catégorie réfère au matériel de manipulation où les unités sont visibles et accessibles. Par exemple, si nous utilisons 3 jetons et 4 sacs transparents de 10 jetons pour r</w:t>
      </w:r>
      <w:r>
        <w:rPr>
          <w:rFonts w:ascii="Times New Roman" w:eastAsia="Times New Roman" w:hAnsi="Times New Roman" w:cs="Times New Roman"/>
        </w:rPr>
        <w:t>eprésenter le nombre 43.  Les dizaines sont des sacs qui contiennent 10 jetons et qui peuvent être déconstruits en 10 unités (en les sortant du sac). La deuxième catégorie réfère au matériel de manipulation où les unités sont visibles sans être accessibles</w:t>
      </w:r>
      <w:r>
        <w:rPr>
          <w:rFonts w:ascii="Times New Roman" w:eastAsia="Times New Roman" w:hAnsi="Times New Roman" w:cs="Times New Roman"/>
        </w:rPr>
        <w:t xml:space="preserve"> (ne peuvent pas être déconstruits). Les blocs de base dix sont un bon exemple de ce type de matériel: nous devons échanger physiquement un bâtonnet pour 10 unités parce que les bâtonnets ne peuvent pas être déconstruits (la plupart du temps). La troisième</w:t>
      </w:r>
      <w:r>
        <w:rPr>
          <w:rFonts w:ascii="Times New Roman" w:eastAsia="Times New Roman" w:hAnsi="Times New Roman" w:cs="Times New Roman"/>
        </w:rPr>
        <w:t xml:space="preserve"> catégorie réfère à du matériel de manipulation symbolique, où les unités ne sont pas visibles en dizaines, en centaines, etc. (par exemple, un abaque, de l’argent, etc.).</w:t>
      </w:r>
    </w:p>
    <w:p w14:paraId="34582B27" w14:textId="77777777" w:rsidR="00F5516B" w:rsidRPr="004832ED" w:rsidRDefault="008A513B">
      <w:pPr>
        <w:jc w:val="both"/>
        <w:rPr>
          <w:rFonts w:ascii="Times New Roman" w:eastAsia="Times New Roman" w:hAnsi="Times New Roman" w:cs="Times New Roman"/>
          <w:b/>
        </w:rPr>
      </w:pPr>
      <w:bookmarkStart w:id="2" w:name="_4w0dofdsbe56" w:colFirst="0" w:colLast="0"/>
      <w:bookmarkEnd w:id="2"/>
      <w:r w:rsidRPr="004832ED">
        <w:rPr>
          <w:rFonts w:ascii="Times New Roman" w:eastAsia="Times New Roman" w:hAnsi="Times New Roman" w:cs="Times New Roman"/>
          <w:b/>
        </w:rPr>
        <w:t>Affordance</w:t>
      </w:r>
    </w:p>
    <w:p w14:paraId="34582B28" w14:textId="13950089" w:rsidR="00F5516B" w:rsidRDefault="008A513B">
      <w:pPr>
        <w:jc w:val="both"/>
        <w:rPr>
          <w:rFonts w:ascii="Times New Roman" w:eastAsia="Times New Roman" w:hAnsi="Times New Roman" w:cs="Times New Roman"/>
        </w:rPr>
      </w:pPr>
      <w:bookmarkStart w:id="3" w:name="_i8mbmxzhub06" w:colFirst="0" w:colLast="0"/>
      <w:bookmarkEnd w:id="3"/>
      <w:r w:rsidRPr="004832ED">
        <w:rPr>
          <w:rFonts w:ascii="Times New Roman" w:eastAsia="Times New Roman" w:hAnsi="Times New Roman" w:cs="Times New Roman"/>
        </w:rPr>
        <w:t xml:space="preserve">Les affordances </w:t>
      </w:r>
      <w:r w:rsidRPr="004832ED">
        <w:rPr>
          <w:rFonts w:ascii="Times New Roman" w:eastAsia="Times New Roman" w:hAnsi="Times New Roman" w:cs="Times New Roman"/>
        </w:rPr>
        <w:t>concernent les interactions entre un individu et l’enviro</w:t>
      </w:r>
      <w:r w:rsidRPr="004832ED">
        <w:rPr>
          <w:rFonts w:ascii="Times New Roman" w:eastAsia="Times New Roman" w:hAnsi="Times New Roman" w:cs="Times New Roman"/>
        </w:rPr>
        <w:t>nnement. Les caractéristiques environnementales (l’organisation de la classe, les propriétés des objets, etc.) ne peuvent pas être détachées des élèves (leurs perceptions, leurs expériences passées, etc.). Ils forment une paire inséparable. Selon Clot et B</w:t>
      </w:r>
      <w:r w:rsidRPr="004832ED">
        <w:rPr>
          <w:rFonts w:ascii="Times New Roman" w:eastAsia="Times New Roman" w:hAnsi="Times New Roman" w:cs="Times New Roman"/>
        </w:rPr>
        <w:t>éguin (2004), les</w:t>
      </w:r>
      <w:r w:rsidRPr="004832ED">
        <w:rPr>
          <w:rFonts w:ascii="Times New Roman" w:eastAsia="Times New Roman" w:hAnsi="Times New Roman" w:cs="Times New Roman"/>
        </w:rPr>
        <w:t xml:space="preserve"> affordances</w:t>
      </w:r>
      <w:r w:rsidRPr="004832ED">
        <w:rPr>
          <w:rFonts w:ascii="Times New Roman" w:eastAsia="Times New Roman" w:hAnsi="Times New Roman" w:cs="Times New Roman"/>
        </w:rPr>
        <w:t xml:space="preserve"> sont</w:t>
      </w:r>
      <w:r>
        <w:rPr>
          <w:rFonts w:ascii="Times New Roman" w:eastAsia="Times New Roman" w:hAnsi="Times New Roman" w:cs="Times New Roman"/>
        </w:rPr>
        <w:t xml:space="preserve"> caractérisées d’un côté par le fait que les objets sont signifiants. Cette signification est rattachée à l’expérience de l’utilisateur. </w:t>
      </w:r>
      <w:r w:rsidRPr="00ED46F0">
        <w:rPr>
          <w:rFonts w:ascii="Times New Roman" w:eastAsia="Times New Roman" w:hAnsi="Times New Roman" w:cs="Times New Roman"/>
        </w:rPr>
        <w:t>D’un autre côté,</w:t>
      </w:r>
      <w:r w:rsidR="00A361A2" w:rsidRPr="00ED46F0">
        <w:rPr>
          <w:rFonts w:ascii="Times New Roman" w:eastAsia="Times New Roman" w:hAnsi="Times New Roman" w:cs="Times New Roman"/>
        </w:rPr>
        <w:t xml:space="preserve"> de </w:t>
      </w:r>
      <w:proofErr w:type="spellStart"/>
      <w:r w:rsidR="00A361A2" w:rsidRPr="00ED46F0">
        <w:rPr>
          <w:rFonts w:ascii="Times New Roman" w:eastAsia="Times New Roman" w:hAnsi="Times New Roman" w:cs="Times New Roman"/>
        </w:rPr>
        <w:t>part</w:t>
      </w:r>
      <w:proofErr w:type="spellEnd"/>
      <w:r w:rsidR="00A361A2" w:rsidRPr="00ED46F0">
        <w:rPr>
          <w:rFonts w:ascii="Times New Roman" w:eastAsia="Times New Roman" w:hAnsi="Times New Roman" w:cs="Times New Roman"/>
        </w:rPr>
        <w:t xml:space="preserve"> sa </w:t>
      </w:r>
      <w:r w:rsidR="00ED46F0">
        <w:rPr>
          <w:rFonts w:ascii="Times New Roman" w:eastAsia="Times New Roman" w:hAnsi="Times New Roman" w:cs="Times New Roman"/>
        </w:rPr>
        <w:t>valeur</w:t>
      </w:r>
      <w:r w:rsidR="00A361A2" w:rsidRPr="00ED46F0">
        <w:rPr>
          <w:rFonts w:ascii="Times New Roman" w:eastAsia="Times New Roman" w:hAnsi="Times New Roman" w:cs="Times New Roman"/>
        </w:rPr>
        <w:t xml:space="preserve"> prati</w:t>
      </w:r>
      <w:r w:rsidR="00ED46F0" w:rsidRPr="00ED46F0">
        <w:rPr>
          <w:rFonts w:ascii="Times New Roman" w:eastAsia="Times New Roman" w:hAnsi="Times New Roman" w:cs="Times New Roman"/>
        </w:rPr>
        <w:t>que</w:t>
      </w:r>
      <w:r w:rsidRPr="00ED46F0">
        <w:rPr>
          <w:rFonts w:ascii="Times New Roman" w:eastAsia="Times New Roman" w:hAnsi="Times New Roman" w:cs="Times New Roman"/>
        </w:rPr>
        <w:t xml:space="preserve">, </w:t>
      </w:r>
      <w:r w:rsidRPr="00ED46F0">
        <w:rPr>
          <w:rFonts w:ascii="Times New Roman" w:eastAsia="Times New Roman" w:hAnsi="Times New Roman" w:cs="Times New Roman"/>
        </w:rPr>
        <w:t xml:space="preserve">“an </w:t>
      </w:r>
      <w:proofErr w:type="spellStart"/>
      <w:r w:rsidRPr="00ED46F0">
        <w:rPr>
          <w:rFonts w:ascii="Times New Roman" w:eastAsia="Times New Roman" w:hAnsi="Times New Roman" w:cs="Times New Roman"/>
        </w:rPr>
        <w:t>object</w:t>
      </w:r>
      <w:proofErr w:type="spellEnd"/>
      <w:r w:rsidRPr="00ED46F0">
        <w:rPr>
          <w:rFonts w:ascii="Times New Roman" w:eastAsia="Times New Roman" w:hAnsi="Times New Roman" w:cs="Times New Roman"/>
        </w:rPr>
        <w:t xml:space="preserve"> </w:t>
      </w:r>
      <w:proofErr w:type="spellStart"/>
      <w:r w:rsidRPr="00ED46F0">
        <w:rPr>
          <w:rFonts w:ascii="Times New Roman" w:eastAsia="Times New Roman" w:hAnsi="Times New Roman" w:cs="Times New Roman"/>
        </w:rPr>
        <w:t>is</w:t>
      </w:r>
      <w:proofErr w:type="spellEnd"/>
      <w:r w:rsidRPr="00ED46F0">
        <w:rPr>
          <w:rFonts w:ascii="Times New Roman" w:eastAsia="Times New Roman" w:hAnsi="Times New Roman" w:cs="Times New Roman"/>
        </w:rPr>
        <w:t xml:space="preserve"> </w:t>
      </w:r>
      <w:proofErr w:type="spellStart"/>
      <w:r w:rsidRPr="00ED46F0">
        <w:rPr>
          <w:rFonts w:ascii="Times New Roman" w:eastAsia="Times New Roman" w:hAnsi="Times New Roman" w:cs="Times New Roman"/>
        </w:rPr>
        <w:t>immediately</w:t>
      </w:r>
      <w:proofErr w:type="spellEnd"/>
      <w:r w:rsidRPr="00ED46F0">
        <w:rPr>
          <w:rFonts w:ascii="Times New Roman" w:eastAsia="Times New Roman" w:hAnsi="Times New Roman" w:cs="Times New Roman"/>
        </w:rPr>
        <w:t xml:space="preserve"> </w:t>
      </w:r>
      <w:proofErr w:type="spellStart"/>
      <w:r w:rsidRPr="00ED46F0">
        <w:rPr>
          <w:rFonts w:ascii="Times New Roman" w:eastAsia="Times New Roman" w:hAnsi="Times New Roman" w:cs="Times New Roman"/>
        </w:rPr>
        <w:t>associated</w:t>
      </w:r>
      <w:proofErr w:type="spellEnd"/>
      <w:r w:rsidRPr="00ED46F0">
        <w:rPr>
          <w:rFonts w:ascii="Times New Roman" w:eastAsia="Times New Roman" w:hAnsi="Times New Roman" w:cs="Times New Roman"/>
        </w:rPr>
        <w:t xml:space="preserve"> </w:t>
      </w:r>
      <w:proofErr w:type="spellStart"/>
      <w:r w:rsidRPr="00ED46F0">
        <w:rPr>
          <w:rFonts w:ascii="Times New Roman" w:eastAsia="Times New Roman" w:hAnsi="Times New Roman" w:cs="Times New Roman"/>
        </w:rPr>
        <w:t>with</w:t>
      </w:r>
      <w:proofErr w:type="spellEnd"/>
      <w:r w:rsidRPr="00ED46F0">
        <w:rPr>
          <w:rFonts w:ascii="Times New Roman" w:eastAsia="Times New Roman" w:hAnsi="Times New Roman" w:cs="Times New Roman"/>
        </w:rPr>
        <w:t xml:space="preserve"> a si</w:t>
      </w:r>
      <w:r w:rsidRPr="00ED46F0">
        <w:rPr>
          <w:rFonts w:ascii="Times New Roman" w:eastAsia="Times New Roman" w:hAnsi="Times New Roman" w:cs="Times New Roman"/>
        </w:rPr>
        <w:t xml:space="preserve">gnification for action” </w:t>
      </w:r>
      <w:r w:rsidRPr="00ED46F0">
        <w:rPr>
          <w:rFonts w:ascii="Times New Roman" w:eastAsia="Times New Roman" w:hAnsi="Times New Roman" w:cs="Times New Roman"/>
        </w:rPr>
        <w:t xml:space="preserve">(p. 53). </w:t>
      </w:r>
      <w:proofErr w:type="spellStart"/>
      <w:r w:rsidRPr="00ED46F0">
        <w:rPr>
          <w:rFonts w:ascii="Times New Roman" w:eastAsia="Times New Roman" w:hAnsi="Times New Roman" w:cs="Times New Roman"/>
          <w:lang w:val="en-US"/>
        </w:rPr>
        <w:t>Aussi</w:t>
      </w:r>
      <w:proofErr w:type="spellEnd"/>
      <w:r w:rsidRPr="00ED46F0">
        <w:rPr>
          <w:rFonts w:ascii="Times New Roman" w:eastAsia="Times New Roman" w:hAnsi="Times New Roman" w:cs="Times New Roman"/>
          <w:lang w:val="en-US"/>
        </w:rPr>
        <w:t xml:space="preserve">, </w:t>
      </w:r>
      <w:r w:rsidRPr="00ED46F0">
        <w:rPr>
          <w:rFonts w:ascii="Times New Roman" w:eastAsia="Times New Roman" w:hAnsi="Times New Roman" w:cs="Times New Roman"/>
          <w:lang w:val="en-US"/>
        </w:rPr>
        <w:t>“[w]</w:t>
      </w:r>
      <w:proofErr w:type="spellStart"/>
      <w:r w:rsidRPr="00ED46F0">
        <w:rPr>
          <w:rFonts w:ascii="Times New Roman" w:eastAsia="Times New Roman" w:hAnsi="Times New Roman" w:cs="Times New Roman"/>
          <w:lang w:val="en-US"/>
        </w:rPr>
        <w:t>hether</w:t>
      </w:r>
      <w:proofErr w:type="spellEnd"/>
      <w:r w:rsidRPr="00ED46F0">
        <w:rPr>
          <w:rFonts w:ascii="Times New Roman" w:eastAsia="Times New Roman" w:hAnsi="Times New Roman" w:cs="Times New Roman"/>
          <w:lang w:val="en-US"/>
        </w:rPr>
        <w:t xml:space="preserve"> or not the </w:t>
      </w:r>
      <w:r w:rsidRPr="00ED46F0">
        <w:rPr>
          <w:rFonts w:ascii="Times New Roman" w:eastAsia="Times New Roman" w:hAnsi="Times New Roman" w:cs="Times New Roman"/>
          <w:lang w:val="en-US"/>
        </w:rPr>
        <w:lastRenderedPageBreak/>
        <w:t>affordance is perceived or attended to will change as the need of the observer changes, but being invariant, it is always there to be perceived”</w:t>
      </w:r>
      <w:r w:rsidRPr="00ED46F0">
        <w:rPr>
          <w:rFonts w:ascii="Times New Roman" w:eastAsia="Times New Roman" w:hAnsi="Times New Roman" w:cs="Times New Roman"/>
          <w:lang w:val="en-US"/>
        </w:rPr>
        <w:t xml:space="preserve"> (Gi</w:t>
      </w:r>
      <w:r w:rsidRPr="004832ED">
        <w:rPr>
          <w:rFonts w:ascii="Times New Roman" w:eastAsia="Times New Roman" w:hAnsi="Times New Roman" w:cs="Times New Roman"/>
          <w:lang w:val="en-US"/>
        </w:rPr>
        <w:t xml:space="preserve">bson 1977, dans Brown et al., 2004, p. 120). </w:t>
      </w:r>
      <w:r>
        <w:rPr>
          <w:rFonts w:ascii="Times New Roman" w:eastAsia="Times New Roman" w:hAnsi="Times New Roman" w:cs="Times New Roman"/>
        </w:rPr>
        <w:t>D</w:t>
      </w:r>
      <w:r>
        <w:rPr>
          <w:rFonts w:ascii="Times New Roman" w:eastAsia="Times New Roman" w:hAnsi="Times New Roman" w:cs="Times New Roman"/>
        </w:rPr>
        <w:t xml:space="preserve">onc l’utilisation et les propriétés d’utilisation du matériel peuvent varier selon les besoins. Par exemple, les blocs de base dix ont été désignés pour aider les élèves à percevoir les structures de notre système de numération. Comme adulte, nous pouvons </w:t>
      </w:r>
      <w:r>
        <w:rPr>
          <w:rFonts w:ascii="Times New Roman" w:eastAsia="Times New Roman" w:hAnsi="Times New Roman" w:cs="Times New Roman"/>
        </w:rPr>
        <w:t xml:space="preserve">voir ces propriétés et les utiliser pour montrer des modèles </w:t>
      </w:r>
      <w:r w:rsidRPr="00ED46F0">
        <w:rPr>
          <w:rFonts w:ascii="Times New Roman" w:eastAsia="Times New Roman" w:hAnsi="Times New Roman" w:cs="Times New Roman"/>
        </w:rPr>
        <w:t xml:space="preserve">mathématiques. </w:t>
      </w:r>
      <w:r w:rsidRPr="00ED46F0">
        <w:rPr>
          <w:rFonts w:ascii="Times New Roman" w:eastAsia="Times New Roman" w:hAnsi="Times New Roman" w:cs="Times New Roman"/>
          <w:lang w:val="en-US"/>
        </w:rPr>
        <w:t>“We are seeing concepts that we already understand”</w:t>
      </w:r>
      <w:r w:rsidRPr="00ED46F0">
        <w:rPr>
          <w:rFonts w:ascii="Times New Roman" w:eastAsia="Times New Roman" w:hAnsi="Times New Roman" w:cs="Times New Roman"/>
          <w:lang w:val="en-US"/>
        </w:rPr>
        <w:t xml:space="preserve"> (Ball</w:t>
      </w:r>
      <w:r w:rsidRPr="004832ED">
        <w:rPr>
          <w:rFonts w:ascii="Times New Roman" w:eastAsia="Times New Roman" w:hAnsi="Times New Roman" w:cs="Times New Roman"/>
          <w:lang w:val="en-US"/>
        </w:rPr>
        <w:t xml:space="preserve">, 1992, p. 5). </w:t>
      </w:r>
      <w:r>
        <w:rPr>
          <w:rFonts w:ascii="Times New Roman" w:eastAsia="Times New Roman" w:hAnsi="Times New Roman" w:cs="Times New Roman"/>
        </w:rPr>
        <w:t>Ce que les élèves boivent est aussi associé à ce qu’ils connaissent. Depuis que le matériel n’est plus utili</w:t>
      </w:r>
      <w:r>
        <w:rPr>
          <w:rFonts w:ascii="Times New Roman" w:eastAsia="Times New Roman" w:hAnsi="Times New Roman" w:cs="Times New Roman"/>
        </w:rPr>
        <w:t xml:space="preserve">sé uniquement par les élèves, mais aussi par les enseignants, ce que les enseignants font avec le matériel de manipulation fait aussi partie intégrante de l’expérience des élèves. Ainsi, le concept </w:t>
      </w:r>
      <w:r w:rsidRPr="00ED46F0">
        <w:rPr>
          <w:rFonts w:ascii="Times New Roman" w:eastAsia="Times New Roman" w:hAnsi="Times New Roman" w:cs="Times New Roman"/>
        </w:rPr>
        <w:t>d’</w:t>
      </w:r>
      <w:r w:rsidRPr="00ED46F0">
        <w:rPr>
          <w:rFonts w:ascii="Times New Roman" w:eastAsia="Times New Roman" w:hAnsi="Times New Roman" w:cs="Times New Roman"/>
        </w:rPr>
        <w:t xml:space="preserve">affordance </w:t>
      </w:r>
      <w:r>
        <w:rPr>
          <w:rFonts w:ascii="Times New Roman" w:eastAsia="Times New Roman" w:hAnsi="Times New Roman" w:cs="Times New Roman"/>
        </w:rPr>
        <w:t>permet non seulement d’avoir un indice sur le</w:t>
      </w:r>
      <w:r>
        <w:rPr>
          <w:rFonts w:ascii="Times New Roman" w:eastAsia="Times New Roman" w:hAnsi="Times New Roman" w:cs="Times New Roman"/>
        </w:rPr>
        <w:t xml:space="preserve"> processus d’apprentissage, mais aussi sur le processus d’enseignement.</w:t>
      </w:r>
    </w:p>
    <w:p w14:paraId="34582B29" w14:textId="77777777" w:rsidR="00F5516B" w:rsidRDefault="008A513B">
      <w:pPr>
        <w:jc w:val="both"/>
        <w:rPr>
          <w:rFonts w:ascii="Times New Roman" w:eastAsia="Times New Roman" w:hAnsi="Times New Roman" w:cs="Times New Roman"/>
          <w:b/>
        </w:rPr>
      </w:pPr>
      <w:bookmarkStart w:id="4" w:name="_f446i5a5wdf5" w:colFirst="0" w:colLast="0"/>
      <w:bookmarkEnd w:id="4"/>
      <w:r>
        <w:rPr>
          <w:rFonts w:ascii="Times New Roman" w:eastAsia="Times New Roman" w:hAnsi="Times New Roman" w:cs="Times New Roman"/>
          <w:b/>
        </w:rPr>
        <w:t>Méthodologie</w:t>
      </w:r>
    </w:p>
    <w:p w14:paraId="34582B2A" w14:textId="77777777" w:rsidR="00F5516B" w:rsidRDefault="008A513B">
      <w:pPr>
        <w:jc w:val="both"/>
        <w:rPr>
          <w:rFonts w:ascii="Times New Roman" w:eastAsia="Times New Roman" w:hAnsi="Times New Roman" w:cs="Times New Roman"/>
        </w:rPr>
      </w:pPr>
      <w:bookmarkStart w:id="5" w:name="_cbocohn004mz" w:colFirst="0" w:colLast="0"/>
      <w:bookmarkEnd w:id="5"/>
      <w:r>
        <w:rPr>
          <w:rFonts w:ascii="Times New Roman" w:eastAsia="Times New Roman" w:hAnsi="Times New Roman" w:cs="Times New Roman"/>
        </w:rPr>
        <w:t xml:space="preserve">Dans le projet </w:t>
      </w:r>
      <w:proofErr w:type="spellStart"/>
      <w:r>
        <w:rPr>
          <w:rFonts w:ascii="Times New Roman" w:eastAsia="Times New Roman" w:hAnsi="Times New Roman" w:cs="Times New Roman"/>
          <w:i/>
        </w:rPr>
        <w:t>MathéRéaliser</w:t>
      </w:r>
      <w:proofErr w:type="spellEnd"/>
      <w:r>
        <w:rPr>
          <w:rFonts w:ascii="Times New Roman" w:eastAsia="Times New Roman" w:hAnsi="Times New Roman" w:cs="Times New Roman"/>
        </w:rPr>
        <w:t>, nous avons mené une vaste étude visant à observer les relations entre les interventions des enseignants et le raisonnement mathématique des é</w:t>
      </w:r>
      <w:r>
        <w:rPr>
          <w:rFonts w:ascii="Times New Roman" w:eastAsia="Times New Roman" w:hAnsi="Times New Roman" w:cs="Times New Roman"/>
        </w:rPr>
        <w:t xml:space="preserve">lèves au travers de l’expérimentation de tâches où le matériel jouait un rôle important (et différent). Neuf enseignants (dans chaque phase du projet) ont été invités à rejoindre une recherche collaborative, dans laquelle chaque tâche a été </w:t>
      </w:r>
      <w:proofErr w:type="spellStart"/>
      <w:r>
        <w:rPr>
          <w:rFonts w:ascii="Times New Roman" w:eastAsia="Times New Roman" w:hAnsi="Times New Roman" w:cs="Times New Roman"/>
        </w:rPr>
        <w:t>co</w:t>
      </w:r>
      <w:proofErr w:type="spellEnd"/>
      <w:r>
        <w:rPr>
          <w:rFonts w:ascii="Times New Roman" w:eastAsia="Times New Roman" w:hAnsi="Times New Roman" w:cs="Times New Roman"/>
        </w:rPr>
        <w:t xml:space="preserve">-élaborée et </w:t>
      </w:r>
      <w:r>
        <w:rPr>
          <w:rFonts w:ascii="Times New Roman" w:eastAsia="Times New Roman" w:hAnsi="Times New Roman" w:cs="Times New Roman"/>
        </w:rPr>
        <w:t>expérimenté ensuite dans leur classe. Toutes les tâches portaient sur le sens du nombre et les opérations, incluant les nombres naturels et les fractions. Le projet a été réalisé entre novembre 2014 et mai 2015 pour une phase préliminaire (phase 1) et de n</w:t>
      </w:r>
      <w:r>
        <w:rPr>
          <w:rFonts w:ascii="Times New Roman" w:eastAsia="Times New Roman" w:hAnsi="Times New Roman" w:cs="Times New Roman"/>
        </w:rPr>
        <w:t xml:space="preserve">ovembre 2017 à mai 2018 pour une deuxième phase. Il y a eu des rencontres régulières: des rencontres de </w:t>
      </w:r>
      <w:proofErr w:type="spellStart"/>
      <w:r>
        <w:rPr>
          <w:rFonts w:ascii="Times New Roman" w:eastAsia="Times New Roman" w:hAnsi="Times New Roman" w:cs="Times New Roman"/>
        </w:rPr>
        <w:t>co</w:t>
      </w:r>
      <w:proofErr w:type="spellEnd"/>
      <w:r>
        <w:rPr>
          <w:rFonts w:ascii="Times New Roman" w:eastAsia="Times New Roman" w:hAnsi="Times New Roman" w:cs="Times New Roman"/>
        </w:rPr>
        <w:t xml:space="preserve">-élaboration et des rencontres pour faire un retour </w:t>
      </w:r>
      <w:proofErr w:type="gramStart"/>
      <w:r>
        <w:rPr>
          <w:rFonts w:ascii="Times New Roman" w:eastAsia="Times New Roman" w:hAnsi="Times New Roman" w:cs="Times New Roman"/>
        </w:rPr>
        <w:t>suite aux</w:t>
      </w:r>
      <w:proofErr w:type="gramEnd"/>
      <w:r>
        <w:rPr>
          <w:rFonts w:ascii="Times New Roman" w:eastAsia="Times New Roman" w:hAnsi="Times New Roman" w:cs="Times New Roman"/>
        </w:rPr>
        <w:t xml:space="preserve"> expérimentations. Toutes les rencontres et les expérimentations ont été enregistrées et </w:t>
      </w:r>
      <w:r>
        <w:rPr>
          <w:rFonts w:ascii="Times New Roman" w:eastAsia="Times New Roman" w:hAnsi="Times New Roman" w:cs="Times New Roman"/>
        </w:rPr>
        <w:t>retranscrites.</w:t>
      </w:r>
    </w:p>
    <w:p w14:paraId="34582B2B" w14:textId="77777777" w:rsidR="00F5516B" w:rsidRDefault="008A513B">
      <w:pPr>
        <w:jc w:val="both"/>
        <w:rPr>
          <w:rFonts w:ascii="Times New Roman" w:eastAsia="Times New Roman" w:hAnsi="Times New Roman" w:cs="Times New Roman"/>
        </w:rPr>
      </w:pPr>
      <w:bookmarkStart w:id="6" w:name="_my5rvt7l0h7o" w:colFirst="0" w:colLast="0"/>
      <w:bookmarkEnd w:id="6"/>
      <w:r>
        <w:rPr>
          <w:rFonts w:ascii="Times New Roman" w:eastAsia="Times New Roman" w:hAnsi="Times New Roman" w:cs="Times New Roman"/>
        </w:rPr>
        <w:t>Pour le bien de ce texte, nous nous sommes concentrées seulement sur les interactions entre les actions des élèves et les caractéristiques du matériel de manipulation lors de l’apprentissage du sens du nombre et des habiletés de calcul au ni</w:t>
      </w:r>
      <w:r>
        <w:rPr>
          <w:rFonts w:ascii="Times New Roman" w:eastAsia="Times New Roman" w:hAnsi="Times New Roman" w:cs="Times New Roman"/>
        </w:rPr>
        <w:t xml:space="preserve">veau primaire. Ainsi, une tâche est analysée. La tâche </w:t>
      </w:r>
      <w:r>
        <w:rPr>
          <w:rFonts w:ascii="Times New Roman" w:eastAsia="Times New Roman" w:hAnsi="Times New Roman" w:cs="Times New Roman"/>
          <w:i/>
        </w:rPr>
        <w:t xml:space="preserve">Opérations classiques, </w:t>
      </w:r>
      <w:r>
        <w:rPr>
          <w:rFonts w:ascii="Times New Roman" w:eastAsia="Times New Roman" w:hAnsi="Times New Roman" w:cs="Times New Roman"/>
        </w:rPr>
        <w:t xml:space="preserve">de la phase 2, a été expérimentée dans deux classes de troisième année (9-10 ans) de 19 et 18 élèves. Les élèves devaient travailler en équipe de 2. Dans le programme du Québec, </w:t>
      </w:r>
      <w:r>
        <w:rPr>
          <w:rFonts w:ascii="Times New Roman" w:eastAsia="Times New Roman" w:hAnsi="Times New Roman" w:cs="Times New Roman"/>
        </w:rPr>
        <w:t>les élèves apprennent l’algorithme de l’addition et de la soustraction en 3e année. Ils avaient donc déjà appris les deux algorithmes.</w:t>
      </w:r>
    </w:p>
    <w:p w14:paraId="34582B2C" w14:textId="77777777" w:rsidR="00F5516B" w:rsidRDefault="008A513B">
      <w:pPr>
        <w:jc w:val="both"/>
        <w:rPr>
          <w:rFonts w:ascii="Times New Roman" w:eastAsia="Times New Roman" w:hAnsi="Times New Roman" w:cs="Times New Roman"/>
          <w:b/>
        </w:rPr>
      </w:pPr>
      <w:bookmarkStart w:id="7" w:name="_6k2tkacpyek" w:colFirst="0" w:colLast="0"/>
      <w:bookmarkEnd w:id="7"/>
      <w:r>
        <w:rPr>
          <w:rFonts w:ascii="Times New Roman" w:eastAsia="Times New Roman" w:hAnsi="Times New Roman" w:cs="Times New Roman"/>
          <w:b/>
        </w:rPr>
        <w:t>Description de la tâche et caractéristiques du matériel de manipulation</w:t>
      </w:r>
    </w:p>
    <w:p w14:paraId="34582B2D" w14:textId="77777777" w:rsidR="00F5516B" w:rsidRDefault="008A513B">
      <w:pPr>
        <w:jc w:val="both"/>
        <w:rPr>
          <w:rFonts w:ascii="Times New Roman" w:eastAsia="Times New Roman" w:hAnsi="Times New Roman" w:cs="Times New Roman"/>
        </w:rPr>
      </w:pPr>
      <w:bookmarkStart w:id="8" w:name="_8g42hqc1rbjb" w:colFirst="0" w:colLast="0"/>
      <w:bookmarkEnd w:id="8"/>
      <w:r>
        <w:rPr>
          <w:rFonts w:ascii="Times New Roman" w:eastAsia="Times New Roman" w:hAnsi="Times New Roman" w:cs="Times New Roman"/>
          <w:i/>
        </w:rPr>
        <w:t>Opérations classiques</w:t>
      </w:r>
      <w:r>
        <w:rPr>
          <w:rFonts w:ascii="Times New Roman" w:eastAsia="Times New Roman" w:hAnsi="Times New Roman" w:cs="Times New Roman"/>
        </w:rPr>
        <w:t xml:space="preserve"> est une tâche inspirée de Cobb (1994). Les élèves ont répondu à trois questions similaires à la suivante. Les tâches ont été présentées oralement aux élèves.</w:t>
      </w:r>
    </w:p>
    <w:p w14:paraId="34582B2E" w14:textId="77777777" w:rsidR="00F5516B" w:rsidRDefault="008A513B">
      <w:pPr>
        <w:ind w:left="720"/>
        <w:jc w:val="both"/>
        <w:rPr>
          <w:rFonts w:ascii="Times New Roman" w:eastAsia="Times New Roman" w:hAnsi="Times New Roman" w:cs="Times New Roman"/>
        </w:rPr>
      </w:pPr>
      <w:bookmarkStart w:id="9" w:name="_avxom6l0c78l" w:colFirst="0" w:colLast="0"/>
      <w:bookmarkEnd w:id="9"/>
      <w:r>
        <w:rPr>
          <w:rFonts w:ascii="Times New Roman" w:eastAsia="Times New Roman" w:hAnsi="Times New Roman" w:cs="Times New Roman"/>
        </w:rPr>
        <w:t>“Représente 1009 avec ton matériel puis je vais vous poser une question [Attente que les élèves a</w:t>
      </w:r>
      <w:r>
        <w:rPr>
          <w:rFonts w:ascii="Times New Roman" w:eastAsia="Times New Roman" w:hAnsi="Times New Roman" w:cs="Times New Roman"/>
        </w:rPr>
        <w:t xml:space="preserve">ient </w:t>
      </w:r>
      <w:proofErr w:type="gramStart"/>
      <w:r>
        <w:rPr>
          <w:rFonts w:ascii="Times New Roman" w:eastAsia="Times New Roman" w:hAnsi="Times New Roman" w:cs="Times New Roman"/>
        </w:rPr>
        <w:t>représenté</w:t>
      </w:r>
      <w:proofErr w:type="gramEnd"/>
      <w:r>
        <w:rPr>
          <w:rFonts w:ascii="Times New Roman" w:eastAsia="Times New Roman" w:hAnsi="Times New Roman" w:cs="Times New Roman"/>
        </w:rPr>
        <w:t xml:space="preserve"> 1009 avec leurs blocs de base dix ou leur abaque maison.] J’avais un nombre, j’ai soustrait 453 [l’écrit au tableau], j’ai maintenant 1009. Combien j’avais au départ? ”</w:t>
      </w:r>
    </w:p>
    <w:p w14:paraId="34582B2F" w14:textId="77777777" w:rsidR="00F5516B" w:rsidRDefault="008A513B">
      <w:pPr>
        <w:jc w:val="both"/>
        <w:rPr>
          <w:rFonts w:ascii="Times New Roman" w:eastAsia="Times New Roman" w:hAnsi="Times New Roman" w:cs="Times New Roman"/>
        </w:rPr>
      </w:pPr>
      <w:bookmarkStart w:id="10" w:name="_xrvnau2u88bj" w:colFirst="0" w:colLast="0"/>
      <w:bookmarkEnd w:id="10"/>
      <w:r>
        <w:rPr>
          <w:rFonts w:ascii="Times New Roman" w:eastAsia="Times New Roman" w:hAnsi="Times New Roman" w:cs="Times New Roman"/>
        </w:rPr>
        <w:t>Pour réaliser cette tâche, deux matériels étaient disponibles. Les élèv</w:t>
      </w:r>
      <w:r>
        <w:rPr>
          <w:rFonts w:ascii="Times New Roman" w:eastAsia="Times New Roman" w:hAnsi="Times New Roman" w:cs="Times New Roman"/>
        </w:rPr>
        <w:t>es travaillaient soit avec les blocs de base dix ou avec un abaque maison (voir figure 1)</w:t>
      </w:r>
    </w:p>
    <w:p w14:paraId="34582B30" w14:textId="77777777" w:rsidR="00F5516B" w:rsidRDefault="00F5516B">
      <w:pPr>
        <w:jc w:val="both"/>
        <w:rPr>
          <w:rFonts w:ascii="Times New Roman" w:eastAsia="Times New Roman" w:hAnsi="Times New Roman" w:cs="Times New Roman"/>
        </w:rPr>
      </w:pPr>
      <w:bookmarkStart w:id="11" w:name="_7e0vtg9t4jcd" w:colFirst="0" w:colLast="0"/>
      <w:bookmarkEnd w:id="11"/>
    </w:p>
    <w:p w14:paraId="34582B31" w14:textId="77777777" w:rsidR="00F5516B" w:rsidRDefault="008A513B">
      <w:pPr>
        <w:jc w:val="center"/>
        <w:rPr>
          <w:rFonts w:ascii="Times New Roman" w:eastAsia="Times New Roman" w:hAnsi="Times New Roman" w:cs="Times New Roman"/>
          <w:b/>
        </w:rPr>
      </w:pPr>
      <w:bookmarkStart w:id="12" w:name="_y69fr8yd2viu" w:colFirst="0" w:colLast="0"/>
      <w:bookmarkEnd w:id="12"/>
      <w:r>
        <w:rPr>
          <w:rFonts w:ascii="Times New Roman" w:eastAsia="Times New Roman" w:hAnsi="Times New Roman" w:cs="Times New Roman"/>
          <w:b/>
          <w:noProof/>
        </w:rPr>
        <w:drawing>
          <wp:inline distT="114300" distB="114300" distL="114300" distR="114300" wp14:anchorId="34582B8A" wp14:editId="34582B8B">
            <wp:extent cx="2571750" cy="11239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571750" cy="1123950"/>
                    </a:xfrm>
                    <a:prstGeom prst="rect">
                      <a:avLst/>
                    </a:prstGeom>
                    <a:ln/>
                  </pic:spPr>
                </pic:pic>
              </a:graphicData>
            </a:graphic>
          </wp:inline>
        </w:drawing>
      </w:r>
    </w:p>
    <w:p w14:paraId="34582B32" w14:textId="77777777" w:rsidR="00F5516B" w:rsidRDefault="008A513B">
      <w:pPr>
        <w:jc w:val="center"/>
        <w:rPr>
          <w:rFonts w:ascii="Times New Roman" w:eastAsia="Times New Roman" w:hAnsi="Times New Roman" w:cs="Times New Roman"/>
          <w:b/>
        </w:rPr>
      </w:pPr>
      <w:bookmarkStart w:id="13" w:name="_1oa2mjysm9x3" w:colFirst="0" w:colLast="0"/>
      <w:bookmarkEnd w:id="13"/>
      <w:r>
        <w:rPr>
          <w:rFonts w:ascii="Times New Roman" w:eastAsia="Times New Roman" w:hAnsi="Times New Roman" w:cs="Times New Roman"/>
          <w:b/>
        </w:rPr>
        <w:lastRenderedPageBreak/>
        <w:t>Figure 1: Blocs de base dix et abaque maison</w:t>
      </w:r>
      <w:r>
        <w:rPr>
          <w:rFonts w:ascii="Times New Roman" w:eastAsia="Times New Roman" w:hAnsi="Times New Roman" w:cs="Times New Roman"/>
          <w:b/>
        </w:rPr>
        <w:br/>
      </w:r>
    </w:p>
    <w:p w14:paraId="34582B33" w14:textId="77777777" w:rsidR="00F5516B" w:rsidRDefault="008A513B">
      <w:pPr>
        <w:jc w:val="both"/>
        <w:rPr>
          <w:rFonts w:ascii="Times New Roman" w:eastAsia="Times New Roman" w:hAnsi="Times New Roman" w:cs="Times New Roman"/>
          <w:sz w:val="24"/>
          <w:szCs w:val="24"/>
        </w:rPr>
      </w:pPr>
      <w:bookmarkStart w:id="14" w:name="_so6c56axgixx" w:colFirst="0" w:colLast="0"/>
      <w:bookmarkEnd w:id="14"/>
      <w:r>
        <w:rPr>
          <w:rFonts w:ascii="Times New Roman" w:eastAsia="Times New Roman" w:hAnsi="Times New Roman" w:cs="Times New Roman"/>
          <w:sz w:val="24"/>
          <w:szCs w:val="24"/>
        </w:rPr>
        <w:t xml:space="preserve">Comme chaque matériel a ses propriétés, nous nous pouvons faire l’hypothèse que chaque matériel, en relation avec les élèves et le groupe générera différentes </w:t>
      </w:r>
      <w:r w:rsidRPr="000D6636">
        <w:rPr>
          <w:rFonts w:ascii="Times New Roman" w:eastAsia="Times New Roman" w:hAnsi="Times New Roman" w:cs="Times New Roman"/>
          <w:sz w:val="24"/>
          <w:szCs w:val="24"/>
        </w:rPr>
        <w:t>affordances</w:t>
      </w:r>
      <w:r>
        <w:rPr>
          <w:rFonts w:ascii="Times New Roman" w:eastAsia="Times New Roman" w:hAnsi="Times New Roman" w:cs="Times New Roman"/>
          <w:sz w:val="24"/>
          <w:szCs w:val="24"/>
        </w:rPr>
        <w:t xml:space="preserve"> dans la classe (voir tableau 1).</w:t>
      </w:r>
    </w:p>
    <w:tbl>
      <w:tblPr>
        <w:tblStyle w:val="a"/>
        <w:tblW w:w="940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03"/>
        <w:gridCol w:w="4703"/>
      </w:tblGrid>
      <w:tr w:rsidR="00F5516B" w14:paraId="34582B36" w14:textId="77777777">
        <w:tc>
          <w:tcPr>
            <w:tcW w:w="4703" w:type="dxa"/>
            <w:shd w:val="clear" w:color="auto" w:fill="auto"/>
            <w:tcMar>
              <w:top w:w="100" w:type="dxa"/>
              <w:left w:w="100" w:type="dxa"/>
              <w:bottom w:w="100" w:type="dxa"/>
              <w:right w:w="100" w:type="dxa"/>
            </w:tcMar>
          </w:tcPr>
          <w:p w14:paraId="34582B34" w14:textId="77777777" w:rsidR="00F5516B" w:rsidRDefault="008A513B">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Blocs de base dix</w:t>
            </w:r>
          </w:p>
        </w:tc>
        <w:tc>
          <w:tcPr>
            <w:tcW w:w="4703" w:type="dxa"/>
            <w:shd w:val="clear" w:color="auto" w:fill="auto"/>
            <w:tcMar>
              <w:top w:w="100" w:type="dxa"/>
              <w:left w:w="100" w:type="dxa"/>
              <w:bottom w:w="100" w:type="dxa"/>
              <w:right w:w="100" w:type="dxa"/>
            </w:tcMar>
          </w:tcPr>
          <w:p w14:paraId="34582B35" w14:textId="77777777" w:rsidR="00F5516B" w:rsidRDefault="008A513B">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Abaque maison</w:t>
            </w:r>
          </w:p>
        </w:tc>
      </w:tr>
      <w:tr w:rsidR="00F5516B" w14:paraId="34582B3F" w14:textId="77777777">
        <w:tc>
          <w:tcPr>
            <w:tcW w:w="4703" w:type="dxa"/>
            <w:shd w:val="clear" w:color="auto" w:fill="auto"/>
            <w:tcMar>
              <w:top w:w="100" w:type="dxa"/>
              <w:left w:w="100" w:type="dxa"/>
              <w:bottom w:w="100" w:type="dxa"/>
              <w:right w:w="100" w:type="dxa"/>
            </w:tcMar>
          </w:tcPr>
          <w:p w14:paraId="34582B37" w14:textId="77777777" w:rsidR="00F5516B" w:rsidRDefault="008A513B">
            <w:pPr>
              <w:widowControl w:val="0"/>
              <w:numPr>
                <w:ilvl w:val="0"/>
                <w:numId w:val="7"/>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Modèle proportionnel;</w:t>
            </w:r>
          </w:p>
          <w:p w14:paraId="34582B38" w14:textId="77777777" w:rsidR="00F5516B" w:rsidRDefault="008A513B">
            <w:pPr>
              <w:widowControl w:val="0"/>
              <w:numPr>
                <w:ilvl w:val="0"/>
                <w:numId w:val="7"/>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Unités visibles, mais inaccessibles (non destructible);</w:t>
            </w:r>
          </w:p>
          <w:p w14:paraId="34582B39" w14:textId="77777777" w:rsidR="00F5516B" w:rsidRDefault="008A513B">
            <w:pPr>
              <w:widowControl w:val="0"/>
              <w:numPr>
                <w:ilvl w:val="0"/>
                <w:numId w:val="7"/>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 valeur ne dépend pas de l’organisation du matériel;</w:t>
            </w:r>
          </w:p>
          <w:p w14:paraId="34582B3A" w14:textId="77777777" w:rsidR="00F5516B" w:rsidRDefault="008A513B">
            <w:pPr>
              <w:widowControl w:val="0"/>
              <w:numPr>
                <w:ilvl w:val="0"/>
                <w:numId w:val="7"/>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 même objet peut seulement avoir une valeur.</w:t>
            </w:r>
          </w:p>
        </w:tc>
        <w:tc>
          <w:tcPr>
            <w:tcW w:w="4703" w:type="dxa"/>
            <w:shd w:val="clear" w:color="auto" w:fill="auto"/>
            <w:tcMar>
              <w:top w:w="100" w:type="dxa"/>
              <w:left w:w="100" w:type="dxa"/>
              <w:bottom w:w="100" w:type="dxa"/>
              <w:right w:w="100" w:type="dxa"/>
            </w:tcMar>
          </w:tcPr>
          <w:p w14:paraId="34582B3B" w14:textId="77777777" w:rsidR="00F5516B" w:rsidRDefault="008A513B">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Modèle non proportionnel;</w:t>
            </w:r>
          </w:p>
          <w:p w14:paraId="34582B3C" w14:textId="77777777" w:rsidR="00F5516B" w:rsidRDefault="008A513B">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Matériel symbolique (unités non visibles ni destru</w:t>
            </w:r>
            <w:r>
              <w:rPr>
                <w:rFonts w:ascii="Times New Roman" w:eastAsia="Times New Roman" w:hAnsi="Times New Roman" w:cs="Times New Roman"/>
                <w:sz w:val="24"/>
                <w:szCs w:val="24"/>
              </w:rPr>
              <w:t>ctibles)</w:t>
            </w:r>
          </w:p>
          <w:p w14:paraId="34582B3D" w14:textId="77777777" w:rsidR="00F5516B" w:rsidRDefault="008A513B">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 valeur dépend de l’arrangement du matériel;</w:t>
            </w:r>
          </w:p>
          <w:p w14:paraId="34582B3E" w14:textId="77777777" w:rsidR="00F5516B" w:rsidRDefault="008A513B">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 même objet peut changer de valeur.</w:t>
            </w:r>
          </w:p>
        </w:tc>
      </w:tr>
    </w:tbl>
    <w:p w14:paraId="34582B40" w14:textId="77777777" w:rsidR="00F5516B" w:rsidRDefault="008A513B">
      <w:pPr>
        <w:jc w:val="center"/>
        <w:rPr>
          <w:rFonts w:ascii="Times New Roman" w:eastAsia="Times New Roman" w:hAnsi="Times New Roman" w:cs="Times New Roman"/>
          <w:b/>
          <w:sz w:val="24"/>
          <w:szCs w:val="24"/>
        </w:rPr>
      </w:pPr>
      <w:bookmarkStart w:id="15" w:name="_vt3j9vyw3mc8" w:colFirst="0" w:colLast="0"/>
      <w:bookmarkEnd w:id="15"/>
      <w:r>
        <w:rPr>
          <w:rFonts w:ascii="Times New Roman" w:eastAsia="Times New Roman" w:hAnsi="Times New Roman" w:cs="Times New Roman"/>
          <w:b/>
          <w:sz w:val="24"/>
          <w:szCs w:val="24"/>
        </w:rPr>
        <w:t>Tableau 1: Caractéristiques de chaque matériel.</w:t>
      </w:r>
    </w:p>
    <w:p w14:paraId="34582B41" w14:textId="77777777" w:rsidR="00F5516B" w:rsidRDefault="00F5516B">
      <w:pPr>
        <w:jc w:val="both"/>
        <w:rPr>
          <w:rFonts w:ascii="Times New Roman" w:eastAsia="Times New Roman" w:hAnsi="Times New Roman" w:cs="Times New Roman"/>
          <w:sz w:val="24"/>
          <w:szCs w:val="24"/>
        </w:rPr>
      </w:pPr>
      <w:bookmarkStart w:id="16" w:name="_2gjv15jqb2dr" w:colFirst="0" w:colLast="0"/>
      <w:bookmarkEnd w:id="16"/>
    </w:p>
    <w:p w14:paraId="34582B42" w14:textId="77777777" w:rsidR="00F5516B" w:rsidRDefault="008A513B">
      <w:pPr>
        <w:jc w:val="both"/>
        <w:rPr>
          <w:rFonts w:ascii="Times New Roman" w:eastAsia="Times New Roman" w:hAnsi="Times New Roman" w:cs="Times New Roman"/>
          <w:b/>
          <w:sz w:val="24"/>
          <w:szCs w:val="24"/>
        </w:rPr>
      </w:pPr>
      <w:bookmarkStart w:id="17" w:name="_i8tixyw02wl8" w:colFirst="0" w:colLast="0"/>
      <w:bookmarkEnd w:id="17"/>
      <w:r>
        <w:rPr>
          <w:rFonts w:ascii="Times New Roman" w:eastAsia="Times New Roman" w:hAnsi="Times New Roman" w:cs="Times New Roman"/>
          <w:b/>
          <w:sz w:val="24"/>
          <w:szCs w:val="24"/>
        </w:rPr>
        <w:t>Analyse et résultats</w:t>
      </w:r>
    </w:p>
    <w:p w14:paraId="34582B43" w14:textId="77777777" w:rsidR="00F5516B" w:rsidRDefault="008A513B">
      <w:pPr>
        <w:jc w:val="both"/>
        <w:rPr>
          <w:rFonts w:ascii="Times New Roman" w:eastAsia="Times New Roman" w:hAnsi="Times New Roman" w:cs="Times New Roman"/>
          <w:sz w:val="24"/>
          <w:szCs w:val="24"/>
        </w:rPr>
      </w:pPr>
      <w:bookmarkStart w:id="18" w:name="_i0gybijjb919" w:colFirst="0" w:colLast="0"/>
      <w:bookmarkEnd w:id="18"/>
      <w:r>
        <w:rPr>
          <w:rFonts w:ascii="Times New Roman" w:eastAsia="Times New Roman" w:hAnsi="Times New Roman" w:cs="Times New Roman"/>
          <w:sz w:val="24"/>
          <w:szCs w:val="24"/>
        </w:rPr>
        <w:t xml:space="preserve">L’analyse de données a impliqué trois étapes. Premièrement, pour explorer </w:t>
      </w:r>
      <w:r w:rsidRPr="000D6636">
        <w:rPr>
          <w:rFonts w:ascii="Times New Roman" w:eastAsia="Times New Roman" w:hAnsi="Times New Roman" w:cs="Times New Roman"/>
          <w:sz w:val="24"/>
          <w:szCs w:val="24"/>
        </w:rPr>
        <w:t>l’</w:t>
      </w:r>
      <w:r w:rsidRPr="000D6636">
        <w:rPr>
          <w:rFonts w:ascii="Times New Roman" w:eastAsia="Times New Roman" w:hAnsi="Times New Roman" w:cs="Times New Roman"/>
          <w:sz w:val="24"/>
          <w:szCs w:val="24"/>
        </w:rPr>
        <w:t>affordance</w:t>
      </w:r>
      <w:r>
        <w:rPr>
          <w:rFonts w:ascii="Times New Roman" w:eastAsia="Times New Roman" w:hAnsi="Times New Roman" w:cs="Times New Roman"/>
          <w:sz w:val="24"/>
          <w:szCs w:val="24"/>
        </w:rPr>
        <w:t xml:space="preserve"> lors de l’utilisation du matériel, nous avons regardé les vidéos plusieurs fois. Deuxièmement, nous avons extrait chaque action posée par les élèves pour les observer. C</w:t>
      </w:r>
      <w:r>
        <w:rPr>
          <w:rFonts w:ascii="Times New Roman" w:eastAsia="Times New Roman" w:hAnsi="Times New Roman" w:cs="Times New Roman"/>
          <w:sz w:val="24"/>
          <w:szCs w:val="24"/>
        </w:rPr>
        <w:t>haque action a ensuite été décrite en association avec les caractéristiques du matériel de manipulation. Finalement, nous avons groupé les actions en trois différentes activités mathématiques impliquées dans la classe et dans l’organisation de la classe (l</w:t>
      </w:r>
      <w:r>
        <w:rPr>
          <w:rFonts w:ascii="Times New Roman" w:eastAsia="Times New Roman" w:hAnsi="Times New Roman" w:cs="Times New Roman"/>
          <w:sz w:val="24"/>
          <w:szCs w:val="24"/>
        </w:rPr>
        <w:t>’utilisation du matériel).</w:t>
      </w:r>
    </w:p>
    <w:p w14:paraId="34582B44" w14:textId="77777777" w:rsidR="00F5516B" w:rsidRDefault="008A513B">
      <w:pPr>
        <w:jc w:val="both"/>
        <w:rPr>
          <w:rFonts w:ascii="Times New Roman" w:eastAsia="Times New Roman" w:hAnsi="Times New Roman" w:cs="Times New Roman"/>
          <w:sz w:val="24"/>
          <w:szCs w:val="24"/>
        </w:rPr>
      </w:pPr>
      <w:bookmarkStart w:id="19" w:name="_evay55e5mdvx" w:colFirst="0" w:colLast="0"/>
      <w:bookmarkEnd w:id="19"/>
      <w:r>
        <w:rPr>
          <w:rFonts w:ascii="Times New Roman" w:eastAsia="Times New Roman" w:hAnsi="Times New Roman" w:cs="Times New Roman"/>
          <w:sz w:val="24"/>
          <w:szCs w:val="24"/>
        </w:rPr>
        <w:t>L’une des plus grandes difficultés de cette tâche a été de choisir la meilleure opération. Nous sommes conscientes que l’utilisation du matériel n’aide pas les élèves à faire ce choix. Toutefois, les blocs de base dix et les abaq</w:t>
      </w:r>
      <w:r>
        <w:rPr>
          <w:rFonts w:ascii="Times New Roman" w:eastAsia="Times New Roman" w:hAnsi="Times New Roman" w:cs="Times New Roman"/>
          <w:sz w:val="24"/>
          <w:szCs w:val="24"/>
        </w:rPr>
        <w:t>ues utilisés par les élèves ont aidé l’enseignant à identifier en un coup d’</w:t>
      </w:r>
      <w:proofErr w:type="spellStart"/>
      <w:r>
        <w:rPr>
          <w:rFonts w:ascii="Times New Roman" w:eastAsia="Times New Roman" w:hAnsi="Times New Roman" w:cs="Times New Roman"/>
          <w:sz w:val="24"/>
          <w:szCs w:val="24"/>
        </w:rPr>
        <w:t>oeil</w:t>
      </w:r>
      <w:proofErr w:type="spellEnd"/>
      <w:r>
        <w:rPr>
          <w:rFonts w:ascii="Times New Roman" w:eastAsia="Times New Roman" w:hAnsi="Times New Roman" w:cs="Times New Roman"/>
          <w:sz w:val="24"/>
          <w:szCs w:val="24"/>
        </w:rPr>
        <w:t xml:space="preserve"> qui choisissait le bon. Autrement que dans le choix de l’opération, la plupart des erreurs sont survenues dans les stratégies de dénombrement. Le tableau 2 présente l’analyse </w:t>
      </w:r>
      <w:r>
        <w:rPr>
          <w:rFonts w:ascii="Times New Roman" w:eastAsia="Times New Roman" w:hAnsi="Times New Roman" w:cs="Times New Roman"/>
          <w:sz w:val="24"/>
          <w:szCs w:val="24"/>
        </w:rPr>
        <w:t>des actions posées par les élèves en relation avec les caractéristiques de chaque matériel.  Nous avons regroupé les différentes actions en fonction de l’activité mathématique impliquée: représenter, opérer et interpréter.</w:t>
      </w:r>
    </w:p>
    <w:p w14:paraId="34582B45" w14:textId="2DD954F0" w:rsidR="00F5516B" w:rsidRDefault="008A513B">
      <w:pPr>
        <w:jc w:val="both"/>
        <w:rPr>
          <w:rFonts w:ascii="Times New Roman" w:eastAsia="Times New Roman" w:hAnsi="Times New Roman" w:cs="Times New Roman"/>
          <w:color w:val="212121"/>
          <w:sz w:val="24"/>
          <w:szCs w:val="24"/>
          <w:highlight w:val="white"/>
        </w:rPr>
      </w:pPr>
      <w:bookmarkStart w:id="20" w:name="_wxut39mf11ye" w:colFirst="0" w:colLast="0"/>
      <w:bookmarkEnd w:id="20"/>
      <w:r>
        <w:rPr>
          <w:rFonts w:ascii="Times New Roman" w:eastAsia="Times New Roman" w:hAnsi="Times New Roman" w:cs="Times New Roman"/>
          <w:sz w:val="24"/>
          <w:szCs w:val="24"/>
        </w:rPr>
        <w:t xml:space="preserve">Pour représenter des nombres, la </w:t>
      </w:r>
      <w:r>
        <w:rPr>
          <w:rFonts w:ascii="Times New Roman" w:eastAsia="Times New Roman" w:hAnsi="Times New Roman" w:cs="Times New Roman"/>
          <w:sz w:val="24"/>
          <w:szCs w:val="24"/>
        </w:rPr>
        <w:t xml:space="preserve">plupart des élèves étaient capables d’exploiter le matériel. Pour les blocs de base dix, ils associaient le bon bloc (unité, bâtonnet, plaquette, etc.) à chaque position. </w:t>
      </w:r>
      <w:r>
        <w:rPr>
          <w:rFonts w:ascii="Times New Roman" w:eastAsia="Times New Roman" w:hAnsi="Times New Roman" w:cs="Times New Roman"/>
          <w:color w:val="212121"/>
          <w:sz w:val="24"/>
          <w:szCs w:val="24"/>
          <w:highlight w:val="white"/>
        </w:rPr>
        <w:t>Néanmoins, peu d'entre eux ont disposé les blocs de manière à pouvoir</w:t>
      </w:r>
      <w:r w:rsidR="000D6636">
        <w:rPr>
          <w:rFonts w:ascii="Times New Roman" w:eastAsia="Times New Roman" w:hAnsi="Times New Roman" w:cs="Times New Roman"/>
          <w:color w:val="212121"/>
          <w:sz w:val="24"/>
          <w:szCs w:val="24"/>
          <w:highlight w:val="white"/>
        </w:rPr>
        <w:t xml:space="preserve"> « reconnaître </w:t>
      </w:r>
      <w:r>
        <w:rPr>
          <w:rFonts w:ascii="Times New Roman" w:eastAsia="Times New Roman" w:hAnsi="Times New Roman" w:cs="Times New Roman"/>
          <w:color w:val="212121"/>
          <w:sz w:val="24"/>
          <w:szCs w:val="24"/>
          <w:highlight w:val="white"/>
        </w:rPr>
        <w:t>» r</w:t>
      </w:r>
      <w:r>
        <w:rPr>
          <w:rFonts w:ascii="Times New Roman" w:eastAsia="Times New Roman" w:hAnsi="Times New Roman" w:cs="Times New Roman"/>
          <w:color w:val="212121"/>
          <w:sz w:val="24"/>
          <w:szCs w:val="24"/>
          <w:highlight w:val="white"/>
        </w:rPr>
        <w:t>apidement le nombre devant eux. Pour l’abaque, certains élèves ont eu de la difficulté à choisir la bonne colonne pour représenter le deuxième nombre. De plus, davantage d'élèves ont eu recours à la structuration visuelle, les aidant ainsi à interpréter ul</w:t>
      </w:r>
      <w:r>
        <w:rPr>
          <w:rFonts w:ascii="Times New Roman" w:eastAsia="Times New Roman" w:hAnsi="Times New Roman" w:cs="Times New Roman"/>
          <w:color w:val="212121"/>
          <w:sz w:val="24"/>
          <w:szCs w:val="24"/>
          <w:highlight w:val="white"/>
        </w:rPr>
        <w:t xml:space="preserve">térieurement le nombre. </w:t>
      </w:r>
    </w:p>
    <w:p w14:paraId="34582B46" w14:textId="77777777" w:rsidR="00F5516B" w:rsidRDefault="008A513B">
      <w:pPr>
        <w:jc w:val="both"/>
        <w:rPr>
          <w:rFonts w:ascii="Times New Roman" w:eastAsia="Times New Roman" w:hAnsi="Times New Roman" w:cs="Times New Roman"/>
          <w:color w:val="212121"/>
          <w:sz w:val="24"/>
          <w:szCs w:val="24"/>
          <w:highlight w:val="white"/>
        </w:rPr>
      </w:pPr>
      <w:bookmarkStart w:id="21" w:name="_44bx9rcmgx2j" w:colFirst="0" w:colLast="0"/>
      <w:bookmarkEnd w:id="21"/>
      <w:r>
        <w:rPr>
          <w:rFonts w:ascii="Times New Roman" w:eastAsia="Times New Roman" w:hAnsi="Times New Roman" w:cs="Times New Roman"/>
          <w:color w:val="212121"/>
          <w:sz w:val="24"/>
          <w:szCs w:val="24"/>
          <w:highlight w:val="white"/>
        </w:rPr>
        <w:t xml:space="preserve">En opérant sur les nombres, des difficultés de conversion sont survenues en plus des erreurs de dénombrement. Même si les élèves mentionnent échanger 10 unités pour une dizaine (par </w:t>
      </w:r>
      <w:r>
        <w:rPr>
          <w:rFonts w:ascii="Times New Roman" w:eastAsia="Times New Roman" w:hAnsi="Times New Roman" w:cs="Times New Roman"/>
          <w:color w:val="212121"/>
          <w:sz w:val="24"/>
          <w:szCs w:val="24"/>
          <w:highlight w:val="white"/>
        </w:rPr>
        <w:lastRenderedPageBreak/>
        <w:t>exemple), nous avons observé plus d’une fois que les élèves échangeaient 1</w:t>
      </w:r>
      <w:r>
        <w:rPr>
          <w:rFonts w:ascii="Times New Roman" w:eastAsia="Times New Roman" w:hAnsi="Times New Roman" w:cs="Times New Roman"/>
          <w:color w:val="212121"/>
          <w:sz w:val="24"/>
          <w:szCs w:val="24"/>
          <w:highlight w:val="white"/>
        </w:rPr>
        <w:t>1 unités pour une dizaine. Quand ils utilisent l’abaque pour échanger une dizaine en unités, ils déplacent une pièce de la colonne des dizaines à la colonne des unités ET ajoutent dix nouvelles pièces à la colonne des unités.</w:t>
      </w:r>
    </w:p>
    <w:p w14:paraId="34582B47" w14:textId="77777777" w:rsidR="00F5516B" w:rsidRDefault="008A513B">
      <w:pPr>
        <w:jc w:val="both"/>
        <w:rPr>
          <w:rFonts w:ascii="Times New Roman" w:eastAsia="Times New Roman" w:hAnsi="Times New Roman" w:cs="Times New Roman"/>
          <w:color w:val="212121"/>
          <w:sz w:val="24"/>
          <w:szCs w:val="24"/>
          <w:highlight w:val="white"/>
        </w:rPr>
      </w:pPr>
      <w:bookmarkStart w:id="22" w:name="_cyrhcow8t3kl" w:colFirst="0" w:colLast="0"/>
      <w:bookmarkEnd w:id="22"/>
      <w:r>
        <w:rPr>
          <w:rFonts w:ascii="Times New Roman" w:eastAsia="Times New Roman" w:hAnsi="Times New Roman" w:cs="Times New Roman"/>
          <w:color w:val="212121"/>
          <w:sz w:val="24"/>
          <w:szCs w:val="24"/>
          <w:highlight w:val="white"/>
        </w:rPr>
        <w:t xml:space="preserve">Les élèves ont interprété les </w:t>
      </w:r>
      <w:r>
        <w:rPr>
          <w:rFonts w:ascii="Times New Roman" w:eastAsia="Times New Roman" w:hAnsi="Times New Roman" w:cs="Times New Roman"/>
          <w:color w:val="212121"/>
          <w:sz w:val="24"/>
          <w:szCs w:val="24"/>
          <w:highlight w:val="white"/>
        </w:rPr>
        <w:t>nombres de la même façon qu’ils les ont représentés. Seulement un élève qui travaillait avec l’abaque est incohérent: il représente 1009 de la droite vers la gauche, il gère les calculs, mais il lit le nombre de gauche vers la droite quand il interprète le</w:t>
      </w:r>
      <w:r>
        <w:rPr>
          <w:rFonts w:ascii="Times New Roman" w:eastAsia="Times New Roman" w:hAnsi="Times New Roman" w:cs="Times New Roman"/>
          <w:color w:val="212121"/>
          <w:sz w:val="24"/>
          <w:szCs w:val="24"/>
          <w:highlight w:val="white"/>
        </w:rPr>
        <w:t xml:space="preserve"> résultat. Cela a permis à l’enseignant de saisir l’opportunité pour parler de la communication en mathématiques. </w:t>
      </w:r>
    </w:p>
    <w:p w14:paraId="34582B48" w14:textId="77777777" w:rsidR="00F5516B" w:rsidRDefault="00F5516B">
      <w:pPr>
        <w:jc w:val="both"/>
        <w:rPr>
          <w:rFonts w:ascii="Times New Roman" w:eastAsia="Times New Roman" w:hAnsi="Times New Roman" w:cs="Times New Roman"/>
          <w:color w:val="212121"/>
          <w:sz w:val="24"/>
          <w:szCs w:val="24"/>
          <w:highlight w:val="white"/>
        </w:rPr>
      </w:pPr>
      <w:bookmarkStart w:id="23" w:name="_7nk4rkl5l9a" w:colFirst="0" w:colLast="0"/>
      <w:bookmarkEnd w:id="23"/>
    </w:p>
    <w:p w14:paraId="34582B49" w14:textId="77777777" w:rsidR="00F5516B" w:rsidRDefault="00F5516B">
      <w:pPr>
        <w:jc w:val="both"/>
        <w:rPr>
          <w:rFonts w:ascii="Times New Roman" w:eastAsia="Times New Roman" w:hAnsi="Times New Roman" w:cs="Times New Roman"/>
          <w:color w:val="212121"/>
          <w:sz w:val="24"/>
          <w:szCs w:val="24"/>
          <w:highlight w:val="white"/>
        </w:rPr>
      </w:pPr>
      <w:bookmarkStart w:id="24" w:name="_hohbs5118a3a" w:colFirst="0" w:colLast="0"/>
      <w:bookmarkEnd w:id="24"/>
    </w:p>
    <w:tbl>
      <w:tblPr>
        <w:tblStyle w:val="a0"/>
        <w:tblW w:w="94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60"/>
        <w:gridCol w:w="3840"/>
        <w:gridCol w:w="3705"/>
      </w:tblGrid>
      <w:tr w:rsidR="00F5516B" w14:paraId="34582B4D" w14:textId="77777777">
        <w:tc>
          <w:tcPr>
            <w:tcW w:w="1860" w:type="dxa"/>
            <w:shd w:val="clear" w:color="auto" w:fill="auto"/>
            <w:tcMar>
              <w:top w:w="100" w:type="dxa"/>
              <w:left w:w="100" w:type="dxa"/>
              <w:bottom w:w="100" w:type="dxa"/>
              <w:right w:w="100" w:type="dxa"/>
            </w:tcMar>
          </w:tcPr>
          <w:p w14:paraId="34582B4A" w14:textId="77777777" w:rsidR="00F5516B" w:rsidRDefault="008A513B">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212121"/>
                <w:sz w:val="24"/>
                <w:szCs w:val="24"/>
                <w:highlight w:val="white"/>
              </w:rPr>
            </w:pPr>
            <w:r>
              <w:rPr>
                <w:rFonts w:ascii="Times New Roman" w:eastAsia="Times New Roman" w:hAnsi="Times New Roman" w:cs="Times New Roman"/>
                <w:b/>
                <w:color w:val="212121"/>
                <w:sz w:val="24"/>
                <w:szCs w:val="24"/>
                <w:highlight w:val="white"/>
              </w:rPr>
              <w:t>Activités mathématiques</w:t>
            </w:r>
          </w:p>
        </w:tc>
        <w:tc>
          <w:tcPr>
            <w:tcW w:w="3840" w:type="dxa"/>
            <w:shd w:val="clear" w:color="auto" w:fill="auto"/>
            <w:tcMar>
              <w:top w:w="100" w:type="dxa"/>
              <w:left w:w="100" w:type="dxa"/>
              <w:bottom w:w="100" w:type="dxa"/>
              <w:right w:w="100" w:type="dxa"/>
            </w:tcMar>
          </w:tcPr>
          <w:p w14:paraId="34582B4B" w14:textId="77777777" w:rsidR="00F5516B" w:rsidRDefault="008A513B">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212121"/>
                <w:sz w:val="24"/>
                <w:szCs w:val="24"/>
                <w:highlight w:val="white"/>
              </w:rPr>
            </w:pPr>
            <w:r>
              <w:rPr>
                <w:rFonts w:ascii="Times New Roman" w:eastAsia="Times New Roman" w:hAnsi="Times New Roman" w:cs="Times New Roman"/>
                <w:b/>
                <w:color w:val="212121"/>
                <w:sz w:val="24"/>
                <w:szCs w:val="24"/>
                <w:highlight w:val="white"/>
              </w:rPr>
              <w:t>Caractéristiques des blocs de base dix et des actions observées</w:t>
            </w:r>
          </w:p>
        </w:tc>
        <w:tc>
          <w:tcPr>
            <w:tcW w:w="3705" w:type="dxa"/>
            <w:shd w:val="clear" w:color="auto" w:fill="auto"/>
            <w:tcMar>
              <w:top w:w="100" w:type="dxa"/>
              <w:left w:w="100" w:type="dxa"/>
              <w:bottom w:w="100" w:type="dxa"/>
              <w:right w:w="100" w:type="dxa"/>
            </w:tcMar>
          </w:tcPr>
          <w:p w14:paraId="34582B4C" w14:textId="77777777" w:rsidR="00F5516B" w:rsidRDefault="008A513B">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212121"/>
                <w:sz w:val="24"/>
                <w:szCs w:val="24"/>
                <w:highlight w:val="white"/>
              </w:rPr>
            </w:pPr>
            <w:r>
              <w:rPr>
                <w:rFonts w:ascii="Times New Roman" w:eastAsia="Times New Roman" w:hAnsi="Times New Roman" w:cs="Times New Roman"/>
                <w:b/>
                <w:color w:val="212121"/>
                <w:sz w:val="24"/>
                <w:szCs w:val="24"/>
                <w:highlight w:val="white"/>
              </w:rPr>
              <w:t>Caractéristiques de l’abaque maison et actions observées</w:t>
            </w:r>
          </w:p>
        </w:tc>
      </w:tr>
      <w:tr w:rsidR="00F5516B" w14:paraId="34582B56" w14:textId="77777777">
        <w:tc>
          <w:tcPr>
            <w:tcW w:w="1860" w:type="dxa"/>
            <w:shd w:val="clear" w:color="auto" w:fill="auto"/>
            <w:tcMar>
              <w:top w:w="100" w:type="dxa"/>
              <w:left w:w="100" w:type="dxa"/>
              <w:bottom w:w="100" w:type="dxa"/>
              <w:right w:w="100" w:type="dxa"/>
            </w:tcMar>
          </w:tcPr>
          <w:p w14:paraId="34582B4E" w14:textId="77777777" w:rsidR="00F5516B" w:rsidRDefault="008A513B">
            <w:pPr>
              <w:widowControl w:val="0"/>
              <w:pBdr>
                <w:top w:val="nil"/>
                <w:left w:val="nil"/>
                <w:bottom w:val="nil"/>
                <w:right w:val="nil"/>
                <w:between w:val="nil"/>
              </w:pBdr>
              <w:spacing w:after="0" w:line="240" w:lineRule="auto"/>
              <w:rPr>
                <w:rFonts w:ascii="Times New Roman" w:eastAsia="Times New Roman" w:hAnsi="Times New Roman" w:cs="Times New Roman"/>
                <w:b/>
                <w:color w:val="212121"/>
                <w:sz w:val="24"/>
                <w:szCs w:val="24"/>
                <w:highlight w:val="white"/>
              </w:rPr>
            </w:pPr>
            <w:r>
              <w:rPr>
                <w:rFonts w:ascii="Times New Roman" w:eastAsia="Times New Roman" w:hAnsi="Times New Roman" w:cs="Times New Roman"/>
                <w:b/>
                <w:color w:val="212121"/>
                <w:sz w:val="24"/>
                <w:szCs w:val="24"/>
                <w:highlight w:val="white"/>
              </w:rPr>
              <w:t>Représenter</w:t>
            </w:r>
          </w:p>
        </w:tc>
        <w:tc>
          <w:tcPr>
            <w:tcW w:w="3840" w:type="dxa"/>
            <w:shd w:val="clear" w:color="auto" w:fill="auto"/>
            <w:tcMar>
              <w:top w:w="100" w:type="dxa"/>
              <w:left w:w="100" w:type="dxa"/>
              <w:bottom w:w="100" w:type="dxa"/>
              <w:right w:w="100" w:type="dxa"/>
            </w:tcMar>
          </w:tcPr>
          <w:p w14:paraId="34582B4F" w14:textId="77777777" w:rsidR="00F5516B" w:rsidRDefault="008A513B">
            <w:pPr>
              <w:widowControl w:val="0"/>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212121"/>
                <w:sz w:val="20"/>
                <w:szCs w:val="20"/>
                <w:highlight w:val="white"/>
              </w:rPr>
            </w:pPr>
            <w:r>
              <w:rPr>
                <w:rFonts w:ascii="Times New Roman" w:eastAsia="Times New Roman" w:hAnsi="Times New Roman" w:cs="Times New Roman"/>
                <w:color w:val="212121"/>
                <w:sz w:val="20"/>
                <w:szCs w:val="20"/>
                <w:highlight w:val="white"/>
              </w:rPr>
              <w:t xml:space="preserve">Nécessité de compter les blocs pour chaque valeur de position: cubes, plaquettes, bâtonnets et unités. </w:t>
            </w:r>
          </w:p>
          <w:p w14:paraId="34582B50" w14:textId="77777777" w:rsidR="00F5516B" w:rsidRDefault="008A513B">
            <w:pPr>
              <w:widowControl w:val="0"/>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212121"/>
                <w:sz w:val="20"/>
                <w:szCs w:val="20"/>
                <w:highlight w:val="white"/>
              </w:rPr>
            </w:pPr>
            <w:r>
              <w:rPr>
                <w:rFonts w:ascii="Times New Roman" w:eastAsia="Times New Roman" w:hAnsi="Times New Roman" w:cs="Times New Roman"/>
                <w:color w:val="212121"/>
                <w:sz w:val="20"/>
                <w:szCs w:val="20"/>
                <w:highlight w:val="white"/>
              </w:rPr>
              <w:t>Disposition des blocs pour que la plus grande valeur soit à l'extrême gauche et les autres soient à sa droite (aucun espace vide pour la valeur zéro).</w:t>
            </w:r>
          </w:p>
          <w:p w14:paraId="34582B51" w14:textId="77777777" w:rsidR="00F5516B" w:rsidRDefault="008A513B">
            <w:pPr>
              <w:widowControl w:val="0"/>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212121"/>
                <w:sz w:val="20"/>
                <w:szCs w:val="20"/>
                <w:highlight w:val="white"/>
              </w:rPr>
            </w:pPr>
            <w:r>
              <w:rPr>
                <w:rFonts w:ascii="Times New Roman" w:eastAsia="Times New Roman" w:hAnsi="Times New Roman" w:cs="Times New Roman"/>
                <w:color w:val="212121"/>
                <w:sz w:val="20"/>
                <w:szCs w:val="20"/>
                <w:highlight w:val="white"/>
              </w:rPr>
              <w:t>E</w:t>
            </w:r>
            <w:r>
              <w:rPr>
                <w:rFonts w:ascii="Times New Roman" w:eastAsia="Times New Roman" w:hAnsi="Times New Roman" w:cs="Times New Roman"/>
                <w:color w:val="212121"/>
                <w:sz w:val="20"/>
                <w:szCs w:val="20"/>
                <w:highlight w:val="white"/>
              </w:rPr>
              <w:t>mpiler les blocs (par exemple, 9 unités déposées sur un cube représentent 1009).</w:t>
            </w:r>
          </w:p>
          <w:p w14:paraId="34582B52" w14:textId="77777777" w:rsidR="00F5516B" w:rsidRDefault="008A513B">
            <w:pPr>
              <w:widowControl w:val="0"/>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0"/>
                <w:szCs w:val="20"/>
                <w:highlight w:val="white"/>
              </w:rPr>
              <w:t>Utiliser l’espace pour différencier les positions: par exemple, dix bâtonnets (au lieu d’un cube), suivi des autres bâtonnets, etc</w:t>
            </w:r>
            <w:r>
              <w:rPr>
                <w:rFonts w:ascii="Times New Roman" w:eastAsia="Times New Roman" w:hAnsi="Times New Roman" w:cs="Times New Roman"/>
                <w:color w:val="212121"/>
                <w:sz w:val="24"/>
                <w:szCs w:val="24"/>
                <w:highlight w:val="white"/>
              </w:rPr>
              <w:t>.</w:t>
            </w:r>
          </w:p>
        </w:tc>
        <w:tc>
          <w:tcPr>
            <w:tcW w:w="3705" w:type="dxa"/>
            <w:shd w:val="clear" w:color="auto" w:fill="auto"/>
            <w:tcMar>
              <w:top w:w="100" w:type="dxa"/>
              <w:left w:w="100" w:type="dxa"/>
              <w:bottom w:w="100" w:type="dxa"/>
              <w:right w:w="100" w:type="dxa"/>
            </w:tcMar>
          </w:tcPr>
          <w:p w14:paraId="34582B53" w14:textId="77777777" w:rsidR="00F5516B" w:rsidRDefault="008A513B">
            <w:pPr>
              <w:widowControl w:val="0"/>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212121"/>
                <w:sz w:val="20"/>
                <w:szCs w:val="20"/>
                <w:highlight w:val="white"/>
              </w:rPr>
            </w:pPr>
            <w:r>
              <w:rPr>
                <w:rFonts w:ascii="Times New Roman" w:eastAsia="Times New Roman" w:hAnsi="Times New Roman" w:cs="Times New Roman"/>
                <w:color w:val="212121"/>
                <w:sz w:val="20"/>
                <w:szCs w:val="20"/>
                <w:highlight w:val="white"/>
              </w:rPr>
              <w:t>Compter correctement ou non les pièces et l</w:t>
            </w:r>
            <w:r>
              <w:rPr>
                <w:rFonts w:ascii="Times New Roman" w:eastAsia="Times New Roman" w:hAnsi="Times New Roman" w:cs="Times New Roman"/>
                <w:color w:val="212121"/>
                <w:sz w:val="20"/>
                <w:szCs w:val="20"/>
                <w:highlight w:val="white"/>
              </w:rPr>
              <w:t>es déposer à droite ou dans la mauvaise colonne.</w:t>
            </w:r>
          </w:p>
          <w:p w14:paraId="34582B54" w14:textId="77777777" w:rsidR="00F5516B" w:rsidRDefault="008A513B">
            <w:pPr>
              <w:widowControl w:val="0"/>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212121"/>
                <w:sz w:val="20"/>
                <w:szCs w:val="20"/>
                <w:highlight w:val="white"/>
              </w:rPr>
            </w:pPr>
            <w:r>
              <w:rPr>
                <w:rFonts w:ascii="Times New Roman" w:eastAsia="Times New Roman" w:hAnsi="Times New Roman" w:cs="Times New Roman"/>
                <w:color w:val="212121"/>
                <w:sz w:val="20"/>
                <w:szCs w:val="20"/>
                <w:highlight w:val="white"/>
              </w:rPr>
              <w:t>Disposer les pièces dans le même ordre que nous lisons les nombres. Seulement un élève les a disposés dans l’ordre inverse.</w:t>
            </w:r>
          </w:p>
          <w:p w14:paraId="34582B55" w14:textId="77777777" w:rsidR="00F5516B" w:rsidRDefault="008A513B">
            <w:pPr>
              <w:widowControl w:val="0"/>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212121"/>
                <w:sz w:val="20"/>
                <w:szCs w:val="20"/>
                <w:highlight w:val="white"/>
              </w:rPr>
            </w:pPr>
            <w:r>
              <w:rPr>
                <w:rFonts w:ascii="Times New Roman" w:eastAsia="Times New Roman" w:hAnsi="Times New Roman" w:cs="Times New Roman"/>
                <w:color w:val="212121"/>
                <w:sz w:val="20"/>
                <w:szCs w:val="20"/>
                <w:highlight w:val="white"/>
              </w:rPr>
              <w:t>Dans chaque colonne, utiliser ou non une organisation visuelle pour placer les pièc</w:t>
            </w:r>
            <w:r>
              <w:rPr>
                <w:rFonts w:ascii="Times New Roman" w:eastAsia="Times New Roman" w:hAnsi="Times New Roman" w:cs="Times New Roman"/>
                <w:color w:val="212121"/>
                <w:sz w:val="20"/>
                <w:szCs w:val="20"/>
                <w:highlight w:val="white"/>
              </w:rPr>
              <w:t>es dans chaque colonne (exemple 3 rangées de 3 pour représenter 9).</w:t>
            </w:r>
          </w:p>
        </w:tc>
      </w:tr>
      <w:tr w:rsidR="00F5516B" w14:paraId="34582B5A" w14:textId="77777777">
        <w:tc>
          <w:tcPr>
            <w:tcW w:w="1860" w:type="dxa"/>
            <w:shd w:val="clear" w:color="auto" w:fill="auto"/>
            <w:tcMar>
              <w:top w:w="100" w:type="dxa"/>
              <w:left w:w="100" w:type="dxa"/>
              <w:bottom w:w="100" w:type="dxa"/>
              <w:right w:w="100" w:type="dxa"/>
            </w:tcMar>
          </w:tcPr>
          <w:p w14:paraId="34582B57" w14:textId="77777777" w:rsidR="00F5516B" w:rsidRDefault="008A513B">
            <w:pPr>
              <w:widowControl w:val="0"/>
              <w:pBdr>
                <w:top w:val="nil"/>
                <w:left w:val="nil"/>
                <w:bottom w:val="nil"/>
                <w:right w:val="nil"/>
                <w:between w:val="nil"/>
              </w:pBdr>
              <w:spacing w:after="0" w:line="240" w:lineRule="auto"/>
              <w:rPr>
                <w:rFonts w:ascii="Times New Roman" w:eastAsia="Times New Roman" w:hAnsi="Times New Roman" w:cs="Times New Roman"/>
                <w:b/>
                <w:color w:val="212121"/>
                <w:sz w:val="24"/>
                <w:szCs w:val="24"/>
                <w:highlight w:val="white"/>
              </w:rPr>
            </w:pPr>
            <w:r>
              <w:rPr>
                <w:rFonts w:ascii="Times New Roman" w:eastAsia="Times New Roman" w:hAnsi="Times New Roman" w:cs="Times New Roman"/>
                <w:b/>
                <w:color w:val="212121"/>
                <w:sz w:val="24"/>
                <w:szCs w:val="24"/>
                <w:highlight w:val="white"/>
              </w:rPr>
              <w:t>Opérer</w:t>
            </w:r>
          </w:p>
        </w:tc>
        <w:tc>
          <w:tcPr>
            <w:tcW w:w="3840" w:type="dxa"/>
            <w:shd w:val="clear" w:color="auto" w:fill="auto"/>
            <w:tcMar>
              <w:top w:w="100" w:type="dxa"/>
              <w:left w:w="100" w:type="dxa"/>
              <w:bottom w:w="100" w:type="dxa"/>
              <w:right w:w="100" w:type="dxa"/>
            </w:tcMar>
          </w:tcPr>
          <w:p w14:paraId="34582B58" w14:textId="77777777" w:rsidR="00F5516B" w:rsidRDefault="00F5516B">
            <w:pPr>
              <w:widowControl w:val="0"/>
              <w:pBdr>
                <w:top w:val="nil"/>
                <w:left w:val="nil"/>
                <w:bottom w:val="nil"/>
                <w:right w:val="nil"/>
                <w:between w:val="nil"/>
              </w:pBdr>
              <w:spacing w:after="0" w:line="240" w:lineRule="auto"/>
              <w:jc w:val="both"/>
              <w:rPr>
                <w:rFonts w:ascii="Times New Roman" w:eastAsia="Times New Roman" w:hAnsi="Times New Roman" w:cs="Times New Roman"/>
                <w:color w:val="212121"/>
                <w:sz w:val="24"/>
                <w:szCs w:val="24"/>
                <w:highlight w:val="white"/>
              </w:rPr>
            </w:pPr>
          </w:p>
        </w:tc>
        <w:tc>
          <w:tcPr>
            <w:tcW w:w="3705" w:type="dxa"/>
            <w:shd w:val="clear" w:color="auto" w:fill="auto"/>
            <w:tcMar>
              <w:top w:w="100" w:type="dxa"/>
              <w:left w:w="100" w:type="dxa"/>
              <w:bottom w:w="100" w:type="dxa"/>
              <w:right w:w="100" w:type="dxa"/>
            </w:tcMar>
          </w:tcPr>
          <w:p w14:paraId="34582B59" w14:textId="77777777" w:rsidR="00F5516B" w:rsidRDefault="00F5516B">
            <w:pPr>
              <w:widowControl w:val="0"/>
              <w:pBdr>
                <w:top w:val="nil"/>
                <w:left w:val="nil"/>
                <w:bottom w:val="nil"/>
                <w:right w:val="nil"/>
                <w:between w:val="nil"/>
              </w:pBdr>
              <w:spacing w:after="0" w:line="240" w:lineRule="auto"/>
              <w:rPr>
                <w:rFonts w:ascii="Times New Roman" w:eastAsia="Times New Roman" w:hAnsi="Times New Roman" w:cs="Times New Roman"/>
                <w:color w:val="212121"/>
                <w:sz w:val="24"/>
                <w:szCs w:val="24"/>
                <w:highlight w:val="white"/>
              </w:rPr>
            </w:pPr>
          </w:p>
        </w:tc>
      </w:tr>
      <w:tr w:rsidR="00F5516B" w14:paraId="34582B69" w14:textId="77777777">
        <w:tc>
          <w:tcPr>
            <w:tcW w:w="1860" w:type="dxa"/>
            <w:shd w:val="clear" w:color="auto" w:fill="auto"/>
            <w:tcMar>
              <w:top w:w="100" w:type="dxa"/>
              <w:left w:w="100" w:type="dxa"/>
              <w:bottom w:w="100" w:type="dxa"/>
              <w:right w:w="100" w:type="dxa"/>
            </w:tcMar>
          </w:tcPr>
          <w:p w14:paraId="34582B5B" w14:textId="77777777" w:rsidR="00F5516B" w:rsidRDefault="008A513B">
            <w:pPr>
              <w:widowControl w:val="0"/>
              <w:pBdr>
                <w:top w:val="nil"/>
                <w:left w:val="nil"/>
                <w:bottom w:val="nil"/>
                <w:right w:val="nil"/>
                <w:between w:val="nil"/>
              </w:pBdr>
              <w:spacing w:after="0" w:line="240" w:lineRule="auto"/>
              <w:rPr>
                <w:rFonts w:ascii="Times New Roman" w:eastAsia="Times New Roman" w:hAnsi="Times New Roman" w:cs="Times New Roman"/>
                <w:b/>
                <w:color w:val="212121"/>
                <w:sz w:val="24"/>
                <w:szCs w:val="24"/>
                <w:highlight w:val="white"/>
              </w:rPr>
            </w:pPr>
            <w:r>
              <w:rPr>
                <w:rFonts w:ascii="Times New Roman" w:eastAsia="Times New Roman" w:hAnsi="Times New Roman" w:cs="Times New Roman"/>
                <w:b/>
                <w:color w:val="212121"/>
                <w:sz w:val="24"/>
                <w:szCs w:val="24"/>
                <w:highlight w:val="white"/>
              </w:rPr>
              <w:t>Algorithmes</w:t>
            </w:r>
          </w:p>
        </w:tc>
        <w:tc>
          <w:tcPr>
            <w:tcW w:w="3840" w:type="dxa"/>
            <w:shd w:val="clear" w:color="auto" w:fill="auto"/>
            <w:tcMar>
              <w:top w:w="100" w:type="dxa"/>
              <w:left w:w="100" w:type="dxa"/>
              <w:bottom w:w="100" w:type="dxa"/>
              <w:right w:w="100" w:type="dxa"/>
            </w:tcMar>
          </w:tcPr>
          <w:p w14:paraId="34582B5C" w14:textId="77777777" w:rsidR="00F5516B" w:rsidRDefault="008A513B">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212121"/>
                <w:sz w:val="20"/>
                <w:szCs w:val="20"/>
                <w:highlight w:val="white"/>
              </w:rPr>
            </w:pPr>
            <w:r>
              <w:rPr>
                <w:rFonts w:ascii="Times New Roman" w:eastAsia="Times New Roman" w:hAnsi="Times New Roman" w:cs="Times New Roman"/>
                <w:color w:val="212121"/>
                <w:sz w:val="20"/>
                <w:szCs w:val="20"/>
                <w:highlight w:val="white"/>
              </w:rPr>
              <w:t>Gestion de la valeur de position</w:t>
            </w:r>
          </w:p>
          <w:p w14:paraId="34582B5D" w14:textId="77777777" w:rsidR="00F5516B" w:rsidRDefault="008A513B">
            <w:pPr>
              <w:widowControl w:val="0"/>
              <w:numPr>
                <w:ilvl w:val="1"/>
                <w:numId w:val="2"/>
              </w:numPr>
              <w:pBdr>
                <w:top w:val="nil"/>
                <w:left w:val="nil"/>
                <w:bottom w:val="nil"/>
                <w:right w:val="nil"/>
                <w:between w:val="nil"/>
              </w:pBdr>
              <w:spacing w:after="0" w:line="240" w:lineRule="auto"/>
              <w:jc w:val="both"/>
              <w:rPr>
                <w:rFonts w:ascii="Times New Roman" w:eastAsia="Times New Roman" w:hAnsi="Times New Roman" w:cs="Times New Roman"/>
                <w:color w:val="212121"/>
                <w:sz w:val="20"/>
                <w:szCs w:val="20"/>
                <w:highlight w:val="white"/>
              </w:rPr>
            </w:pPr>
            <w:r>
              <w:rPr>
                <w:rFonts w:ascii="Times New Roman" w:eastAsia="Times New Roman" w:hAnsi="Times New Roman" w:cs="Times New Roman"/>
                <w:color w:val="212121"/>
                <w:sz w:val="20"/>
                <w:szCs w:val="20"/>
                <w:highlight w:val="white"/>
              </w:rPr>
              <w:t>Gérer la position où aucun échange n’est requis en premier.</w:t>
            </w:r>
          </w:p>
          <w:p w14:paraId="34582B5E" w14:textId="77777777" w:rsidR="00F5516B" w:rsidRDefault="008A513B">
            <w:pPr>
              <w:widowControl w:val="0"/>
              <w:numPr>
                <w:ilvl w:val="1"/>
                <w:numId w:val="2"/>
              </w:numPr>
              <w:pBdr>
                <w:top w:val="nil"/>
                <w:left w:val="nil"/>
                <w:bottom w:val="nil"/>
                <w:right w:val="nil"/>
                <w:between w:val="nil"/>
              </w:pBdr>
              <w:spacing w:after="0" w:line="240" w:lineRule="auto"/>
              <w:jc w:val="both"/>
              <w:rPr>
                <w:rFonts w:ascii="Times New Roman" w:eastAsia="Times New Roman" w:hAnsi="Times New Roman" w:cs="Times New Roman"/>
                <w:color w:val="212121"/>
                <w:sz w:val="20"/>
                <w:szCs w:val="20"/>
                <w:highlight w:val="white"/>
              </w:rPr>
            </w:pPr>
            <w:r>
              <w:rPr>
                <w:rFonts w:ascii="Times New Roman" w:eastAsia="Times New Roman" w:hAnsi="Times New Roman" w:cs="Times New Roman"/>
                <w:color w:val="212121"/>
                <w:sz w:val="20"/>
                <w:szCs w:val="20"/>
                <w:highlight w:val="white"/>
              </w:rPr>
              <w:t>Opérer de gauche à droite.</w:t>
            </w:r>
          </w:p>
          <w:p w14:paraId="34582B5F" w14:textId="77777777" w:rsidR="00F5516B" w:rsidRDefault="008A513B">
            <w:pPr>
              <w:widowControl w:val="0"/>
              <w:numPr>
                <w:ilvl w:val="1"/>
                <w:numId w:val="2"/>
              </w:numPr>
              <w:pBdr>
                <w:top w:val="nil"/>
                <w:left w:val="nil"/>
                <w:bottom w:val="nil"/>
                <w:right w:val="nil"/>
                <w:between w:val="nil"/>
              </w:pBdr>
              <w:spacing w:after="0" w:line="240" w:lineRule="auto"/>
              <w:jc w:val="both"/>
              <w:rPr>
                <w:rFonts w:ascii="Times New Roman" w:eastAsia="Times New Roman" w:hAnsi="Times New Roman" w:cs="Times New Roman"/>
                <w:color w:val="212121"/>
                <w:sz w:val="20"/>
                <w:szCs w:val="20"/>
                <w:highlight w:val="white"/>
              </w:rPr>
            </w:pPr>
            <w:r>
              <w:rPr>
                <w:rFonts w:ascii="Times New Roman" w:eastAsia="Times New Roman" w:hAnsi="Times New Roman" w:cs="Times New Roman"/>
                <w:color w:val="212121"/>
                <w:sz w:val="20"/>
                <w:szCs w:val="20"/>
                <w:highlight w:val="white"/>
              </w:rPr>
              <w:t>Utiliser l’algorithme appris (des unités aux cubes)</w:t>
            </w:r>
          </w:p>
          <w:p w14:paraId="34582B60" w14:textId="77777777" w:rsidR="00F5516B" w:rsidRDefault="008A513B">
            <w:pPr>
              <w:widowControl w:val="0"/>
              <w:numPr>
                <w:ilvl w:val="1"/>
                <w:numId w:val="2"/>
              </w:numPr>
              <w:pBdr>
                <w:top w:val="nil"/>
                <w:left w:val="nil"/>
                <w:bottom w:val="nil"/>
                <w:right w:val="nil"/>
                <w:between w:val="nil"/>
              </w:pBdr>
              <w:spacing w:after="0" w:line="240" w:lineRule="auto"/>
              <w:jc w:val="both"/>
              <w:rPr>
                <w:rFonts w:ascii="Times New Roman" w:eastAsia="Times New Roman" w:hAnsi="Times New Roman" w:cs="Times New Roman"/>
                <w:color w:val="212121"/>
                <w:sz w:val="20"/>
                <w:szCs w:val="20"/>
                <w:highlight w:val="white"/>
              </w:rPr>
            </w:pPr>
            <w:r>
              <w:rPr>
                <w:rFonts w:ascii="Times New Roman" w:eastAsia="Times New Roman" w:hAnsi="Times New Roman" w:cs="Times New Roman"/>
                <w:color w:val="212121"/>
                <w:sz w:val="20"/>
                <w:szCs w:val="20"/>
                <w:highlight w:val="white"/>
              </w:rPr>
              <w:t>Mélange de stratégies.</w:t>
            </w:r>
          </w:p>
          <w:p w14:paraId="34582B61" w14:textId="77777777" w:rsidR="00F5516B" w:rsidRDefault="008A513B">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212121"/>
                <w:sz w:val="20"/>
                <w:szCs w:val="20"/>
                <w:highlight w:val="white"/>
              </w:rPr>
            </w:pPr>
            <w:r>
              <w:rPr>
                <w:rFonts w:ascii="Times New Roman" w:eastAsia="Times New Roman" w:hAnsi="Times New Roman" w:cs="Times New Roman"/>
                <w:color w:val="212121"/>
                <w:sz w:val="20"/>
                <w:szCs w:val="20"/>
                <w:highlight w:val="white"/>
              </w:rPr>
              <w:t>Calculs intermédiaires</w:t>
            </w:r>
          </w:p>
          <w:p w14:paraId="34582B62" w14:textId="77777777" w:rsidR="00F5516B" w:rsidRDefault="008A513B">
            <w:pPr>
              <w:widowControl w:val="0"/>
              <w:numPr>
                <w:ilvl w:val="1"/>
                <w:numId w:val="2"/>
              </w:numPr>
              <w:pBdr>
                <w:top w:val="nil"/>
                <w:left w:val="nil"/>
                <w:bottom w:val="nil"/>
                <w:right w:val="nil"/>
                <w:between w:val="nil"/>
              </w:pBdr>
              <w:spacing w:after="0" w:line="240" w:lineRule="auto"/>
              <w:jc w:val="both"/>
              <w:rPr>
                <w:rFonts w:ascii="Times New Roman" w:eastAsia="Times New Roman" w:hAnsi="Times New Roman" w:cs="Times New Roman"/>
                <w:color w:val="212121"/>
                <w:sz w:val="20"/>
                <w:szCs w:val="20"/>
                <w:highlight w:val="white"/>
              </w:rPr>
            </w:pPr>
            <w:r>
              <w:rPr>
                <w:rFonts w:ascii="Times New Roman" w:eastAsia="Times New Roman" w:hAnsi="Times New Roman" w:cs="Times New Roman"/>
                <w:color w:val="212121"/>
                <w:sz w:val="20"/>
                <w:szCs w:val="20"/>
                <w:highlight w:val="white"/>
              </w:rPr>
              <w:t>Dénombrement (par exemple quand on ajoute 4 bâtonnets à 8 bâtonnets, les regrouper puis tous les compter).</w:t>
            </w:r>
          </w:p>
        </w:tc>
        <w:tc>
          <w:tcPr>
            <w:tcW w:w="3705" w:type="dxa"/>
            <w:shd w:val="clear" w:color="auto" w:fill="auto"/>
            <w:tcMar>
              <w:top w:w="100" w:type="dxa"/>
              <w:left w:w="100" w:type="dxa"/>
              <w:bottom w:w="100" w:type="dxa"/>
              <w:right w:w="100" w:type="dxa"/>
            </w:tcMar>
          </w:tcPr>
          <w:p w14:paraId="34582B63" w14:textId="77777777" w:rsidR="00F5516B" w:rsidRDefault="008A513B">
            <w:pPr>
              <w:widowControl w:val="0"/>
              <w:numPr>
                <w:ilvl w:val="0"/>
                <w:numId w:val="2"/>
              </w:numPr>
              <w:spacing w:after="0" w:line="240" w:lineRule="auto"/>
              <w:jc w:val="both"/>
              <w:rPr>
                <w:rFonts w:ascii="Times New Roman" w:eastAsia="Times New Roman" w:hAnsi="Times New Roman" w:cs="Times New Roman"/>
                <w:color w:val="212121"/>
                <w:sz w:val="20"/>
                <w:szCs w:val="20"/>
                <w:highlight w:val="white"/>
              </w:rPr>
            </w:pPr>
            <w:r>
              <w:rPr>
                <w:rFonts w:ascii="Times New Roman" w:eastAsia="Times New Roman" w:hAnsi="Times New Roman" w:cs="Times New Roman"/>
                <w:color w:val="212121"/>
                <w:sz w:val="20"/>
                <w:szCs w:val="20"/>
                <w:highlight w:val="white"/>
              </w:rPr>
              <w:t>Gestion de la valeur de position</w:t>
            </w:r>
          </w:p>
          <w:p w14:paraId="34582B64" w14:textId="77777777" w:rsidR="00F5516B" w:rsidRDefault="008A513B">
            <w:pPr>
              <w:widowControl w:val="0"/>
              <w:numPr>
                <w:ilvl w:val="1"/>
                <w:numId w:val="2"/>
              </w:numPr>
              <w:spacing w:after="0" w:line="240" w:lineRule="auto"/>
              <w:jc w:val="both"/>
              <w:rPr>
                <w:rFonts w:ascii="Times New Roman" w:eastAsia="Times New Roman" w:hAnsi="Times New Roman" w:cs="Times New Roman"/>
                <w:color w:val="212121"/>
                <w:sz w:val="20"/>
                <w:szCs w:val="20"/>
                <w:highlight w:val="white"/>
              </w:rPr>
            </w:pPr>
            <w:r>
              <w:rPr>
                <w:rFonts w:ascii="Times New Roman" w:eastAsia="Times New Roman" w:hAnsi="Times New Roman" w:cs="Times New Roman"/>
                <w:color w:val="212121"/>
                <w:sz w:val="20"/>
                <w:szCs w:val="20"/>
                <w:highlight w:val="white"/>
              </w:rPr>
              <w:t>Premièrement, gérer avec les colonnes où aucun échange n’est requis.</w:t>
            </w:r>
          </w:p>
          <w:p w14:paraId="34582B65" w14:textId="77777777" w:rsidR="00F5516B" w:rsidRDefault="008A513B">
            <w:pPr>
              <w:widowControl w:val="0"/>
              <w:numPr>
                <w:ilvl w:val="1"/>
                <w:numId w:val="2"/>
              </w:numPr>
              <w:spacing w:after="0" w:line="240" w:lineRule="auto"/>
              <w:jc w:val="both"/>
              <w:rPr>
                <w:rFonts w:ascii="Times New Roman" w:eastAsia="Times New Roman" w:hAnsi="Times New Roman" w:cs="Times New Roman"/>
                <w:color w:val="212121"/>
                <w:sz w:val="20"/>
                <w:szCs w:val="20"/>
                <w:highlight w:val="white"/>
              </w:rPr>
            </w:pPr>
            <w:r>
              <w:rPr>
                <w:rFonts w:ascii="Times New Roman" w:eastAsia="Times New Roman" w:hAnsi="Times New Roman" w:cs="Times New Roman"/>
                <w:color w:val="212121"/>
                <w:sz w:val="20"/>
                <w:szCs w:val="20"/>
                <w:highlight w:val="white"/>
              </w:rPr>
              <w:t>Utiliser l’algorithme appris (des unités aux mi</w:t>
            </w:r>
            <w:r>
              <w:rPr>
                <w:rFonts w:ascii="Times New Roman" w:eastAsia="Times New Roman" w:hAnsi="Times New Roman" w:cs="Times New Roman"/>
                <w:color w:val="212121"/>
                <w:sz w:val="20"/>
                <w:szCs w:val="20"/>
                <w:highlight w:val="white"/>
              </w:rPr>
              <w:t>lliers).</w:t>
            </w:r>
          </w:p>
          <w:p w14:paraId="34582B66" w14:textId="77777777" w:rsidR="00F5516B" w:rsidRDefault="008A513B">
            <w:pPr>
              <w:widowControl w:val="0"/>
              <w:numPr>
                <w:ilvl w:val="0"/>
                <w:numId w:val="2"/>
              </w:numPr>
              <w:spacing w:after="0" w:line="240" w:lineRule="auto"/>
              <w:jc w:val="both"/>
              <w:rPr>
                <w:rFonts w:ascii="Times New Roman" w:eastAsia="Times New Roman" w:hAnsi="Times New Roman" w:cs="Times New Roman"/>
                <w:color w:val="212121"/>
                <w:sz w:val="20"/>
                <w:szCs w:val="20"/>
                <w:highlight w:val="white"/>
              </w:rPr>
            </w:pPr>
            <w:r>
              <w:rPr>
                <w:rFonts w:ascii="Times New Roman" w:eastAsia="Times New Roman" w:hAnsi="Times New Roman" w:cs="Times New Roman"/>
                <w:color w:val="212121"/>
                <w:sz w:val="20"/>
                <w:szCs w:val="20"/>
                <w:highlight w:val="white"/>
              </w:rPr>
              <w:t>Calculs intermédiaires</w:t>
            </w:r>
          </w:p>
          <w:p w14:paraId="34582B67" w14:textId="77777777" w:rsidR="00F5516B" w:rsidRDefault="008A513B">
            <w:pPr>
              <w:widowControl w:val="0"/>
              <w:numPr>
                <w:ilvl w:val="1"/>
                <w:numId w:val="2"/>
              </w:numPr>
              <w:spacing w:after="0" w:line="240" w:lineRule="auto"/>
              <w:jc w:val="both"/>
              <w:rPr>
                <w:rFonts w:ascii="Times New Roman" w:eastAsia="Times New Roman" w:hAnsi="Times New Roman" w:cs="Times New Roman"/>
                <w:color w:val="212121"/>
                <w:sz w:val="20"/>
                <w:szCs w:val="20"/>
                <w:highlight w:val="white"/>
              </w:rPr>
            </w:pPr>
            <w:r>
              <w:rPr>
                <w:rFonts w:ascii="Times New Roman" w:eastAsia="Times New Roman" w:hAnsi="Times New Roman" w:cs="Times New Roman"/>
                <w:color w:val="212121"/>
                <w:sz w:val="20"/>
                <w:szCs w:val="20"/>
                <w:highlight w:val="white"/>
              </w:rPr>
              <w:t>Dénombrement (par exemple, quand on ajoute 4 pièces à 8 pièces, les regrouper et dénombrer le résultat).</w:t>
            </w:r>
          </w:p>
          <w:p w14:paraId="34582B68" w14:textId="77777777" w:rsidR="00F5516B" w:rsidRDefault="008A513B">
            <w:pPr>
              <w:widowControl w:val="0"/>
              <w:numPr>
                <w:ilvl w:val="1"/>
                <w:numId w:val="2"/>
              </w:numPr>
              <w:spacing w:after="0" w:line="240" w:lineRule="auto"/>
              <w:jc w:val="both"/>
              <w:rPr>
                <w:rFonts w:ascii="Times New Roman" w:eastAsia="Times New Roman" w:hAnsi="Times New Roman" w:cs="Times New Roman"/>
                <w:color w:val="212121"/>
                <w:sz w:val="20"/>
                <w:szCs w:val="20"/>
                <w:highlight w:val="white"/>
              </w:rPr>
            </w:pPr>
            <w:r>
              <w:rPr>
                <w:rFonts w:ascii="Times New Roman" w:eastAsia="Times New Roman" w:hAnsi="Times New Roman" w:cs="Times New Roman"/>
                <w:color w:val="212121"/>
                <w:sz w:val="20"/>
                <w:szCs w:val="20"/>
                <w:highlight w:val="white"/>
              </w:rPr>
              <w:t xml:space="preserve">Calcul mental en articulant le matériel et les nombres correctement ou non. </w:t>
            </w:r>
          </w:p>
        </w:tc>
      </w:tr>
      <w:tr w:rsidR="00F5516B" w14:paraId="34582B74" w14:textId="77777777">
        <w:tc>
          <w:tcPr>
            <w:tcW w:w="1860" w:type="dxa"/>
            <w:shd w:val="clear" w:color="auto" w:fill="auto"/>
            <w:tcMar>
              <w:top w:w="100" w:type="dxa"/>
              <w:left w:w="100" w:type="dxa"/>
              <w:bottom w:w="100" w:type="dxa"/>
              <w:right w:w="100" w:type="dxa"/>
            </w:tcMar>
          </w:tcPr>
          <w:p w14:paraId="34582B6A" w14:textId="77777777" w:rsidR="00F5516B" w:rsidRDefault="008A513B">
            <w:pPr>
              <w:widowControl w:val="0"/>
              <w:pBdr>
                <w:top w:val="nil"/>
                <w:left w:val="nil"/>
                <w:bottom w:val="nil"/>
                <w:right w:val="nil"/>
                <w:between w:val="nil"/>
              </w:pBdr>
              <w:spacing w:after="0" w:line="240" w:lineRule="auto"/>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b/>
                <w:color w:val="212121"/>
                <w:sz w:val="24"/>
                <w:szCs w:val="24"/>
                <w:highlight w:val="white"/>
              </w:rPr>
              <w:lastRenderedPageBreak/>
              <w:t>Convertir</w:t>
            </w:r>
            <w:r>
              <w:rPr>
                <w:rFonts w:ascii="Times New Roman" w:eastAsia="Times New Roman" w:hAnsi="Times New Roman" w:cs="Times New Roman"/>
                <w:color w:val="212121"/>
                <w:sz w:val="24"/>
                <w:szCs w:val="24"/>
                <w:highlight w:val="white"/>
              </w:rPr>
              <w:t xml:space="preserve"> </w:t>
            </w:r>
          </w:p>
        </w:tc>
        <w:tc>
          <w:tcPr>
            <w:tcW w:w="3840" w:type="dxa"/>
            <w:shd w:val="clear" w:color="auto" w:fill="auto"/>
            <w:tcMar>
              <w:top w:w="100" w:type="dxa"/>
              <w:left w:w="100" w:type="dxa"/>
              <w:bottom w:w="100" w:type="dxa"/>
              <w:right w:w="100" w:type="dxa"/>
            </w:tcMar>
          </w:tcPr>
          <w:p w14:paraId="34582B6B" w14:textId="77777777" w:rsidR="00F5516B" w:rsidRDefault="008A513B">
            <w:pPr>
              <w:widowControl w:val="0"/>
              <w:numPr>
                <w:ilvl w:val="0"/>
                <w:numId w:val="6"/>
              </w:numPr>
              <w:pBdr>
                <w:top w:val="nil"/>
                <w:left w:val="nil"/>
                <w:bottom w:val="nil"/>
                <w:right w:val="nil"/>
                <w:between w:val="nil"/>
              </w:pBdr>
              <w:spacing w:after="0" w:line="240" w:lineRule="auto"/>
              <w:rPr>
                <w:rFonts w:ascii="Times New Roman" w:eastAsia="Times New Roman" w:hAnsi="Times New Roman" w:cs="Times New Roman"/>
                <w:color w:val="212121"/>
                <w:sz w:val="20"/>
                <w:szCs w:val="20"/>
                <w:highlight w:val="white"/>
              </w:rPr>
            </w:pPr>
            <w:r>
              <w:rPr>
                <w:rFonts w:ascii="Times New Roman" w:eastAsia="Times New Roman" w:hAnsi="Times New Roman" w:cs="Times New Roman"/>
                <w:color w:val="212121"/>
                <w:sz w:val="20"/>
                <w:szCs w:val="20"/>
                <w:highlight w:val="white"/>
              </w:rPr>
              <w:t>Changer un bâtonnet pour dix unités (ou 10 unités pour un bâtonnet)</w:t>
            </w:r>
          </w:p>
          <w:p w14:paraId="34582B6C" w14:textId="77777777" w:rsidR="00F5516B" w:rsidRDefault="008A513B">
            <w:pPr>
              <w:widowControl w:val="0"/>
              <w:numPr>
                <w:ilvl w:val="1"/>
                <w:numId w:val="6"/>
              </w:numPr>
              <w:pBdr>
                <w:top w:val="nil"/>
                <w:left w:val="nil"/>
                <w:bottom w:val="nil"/>
                <w:right w:val="nil"/>
                <w:between w:val="nil"/>
              </w:pBdr>
              <w:spacing w:after="0" w:line="240" w:lineRule="auto"/>
              <w:rPr>
                <w:rFonts w:ascii="Times New Roman" w:eastAsia="Times New Roman" w:hAnsi="Times New Roman" w:cs="Times New Roman"/>
                <w:color w:val="212121"/>
                <w:sz w:val="20"/>
                <w:szCs w:val="20"/>
                <w:highlight w:val="white"/>
              </w:rPr>
            </w:pPr>
            <w:proofErr w:type="gramStart"/>
            <w:r>
              <w:rPr>
                <w:rFonts w:ascii="Times New Roman" w:eastAsia="Times New Roman" w:hAnsi="Times New Roman" w:cs="Times New Roman"/>
                <w:color w:val="212121"/>
                <w:sz w:val="20"/>
                <w:szCs w:val="20"/>
                <w:highlight w:val="white"/>
              </w:rPr>
              <w:t>en</w:t>
            </w:r>
            <w:proofErr w:type="gramEnd"/>
            <w:r>
              <w:rPr>
                <w:rFonts w:ascii="Times New Roman" w:eastAsia="Times New Roman" w:hAnsi="Times New Roman" w:cs="Times New Roman"/>
                <w:color w:val="212121"/>
                <w:sz w:val="20"/>
                <w:szCs w:val="20"/>
                <w:highlight w:val="white"/>
              </w:rPr>
              <w:t xml:space="preserve"> comptant correctement ou non les dix unités;</w:t>
            </w:r>
          </w:p>
          <w:p w14:paraId="34582B6D" w14:textId="77777777" w:rsidR="00F5516B" w:rsidRDefault="008A513B">
            <w:pPr>
              <w:widowControl w:val="0"/>
              <w:numPr>
                <w:ilvl w:val="1"/>
                <w:numId w:val="6"/>
              </w:numPr>
              <w:pBdr>
                <w:top w:val="nil"/>
                <w:left w:val="nil"/>
                <w:bottom w:val="nil"/>
                <w:right w:val="nil"/>
                <w:between w:val="nil"/>
              </w:pBdr>
              <w:spacing w:after="0" w:line="240" w:lineRule="auto"/>
              <w:rPr>
                <w:rFonts w:ascii="Times New Roman" w:eastAsia="Times New Roman" w:hAnsi="Times New Roman" w:cs="Times New Roman"/>
                <w:color w:val="212121"/>
                <w:sz w:val="20"/>
                <w:szCs w:val="20"/>
                <w:highlight w:val="white"/>
              </w:rPr>
            </w:pPr>
            <w:r>
              <w:rPr>
                <w:rFonts w:ascii="Times New Roman" w:eastAsia="Times New Roman" w:hAnsi="Times New Roman" w:cs="Times New Roman"/>
                <w:color w:val="212121"/>
                <w:sz w:val="20"/>
                <w:szCs w:val="20"/>
                <w:highlight w:val="white"/>
              </w:rPr>
              <w:t>(</w:t>
            </w:r>
            <w:proofErr w:type="gramStart"/>
            <w:r>
              <w:rPr>
                <w:rFonts w:ascii="Times New Roman" w:eastAsia="Times New Roman" w:hAnsi="Times New Roman" w:cs="Times New Roman"/>
                <w:color w:val="212121"/>
                <w:sz w:val="20"/>
                <w:szCs w:val="20"/>
                <w:highlight w:val="white"/>
              </w:rPr>
              <w:t>de</w:t>
            </w:r>
            <w:proofErr w:type="gramEnd"/>
            <w:r>
              <w:rPr>
                <w:rFonts w:ascii="Times New Roman" w:eastAsia="Times New Roman" w:hAnsi="Times New Roman" w:cs="Times New Roman"/>
                <w:color w:val="212121"/>
                <w:sz w:val="20"/>
                <w:szCs w:val="20"/>
                <w:highlight w:val="white"/>
              </w:rPr>
              <w:t xml:space="preserve"> dix  unités à un bâtonnet) en retirant les unités comptées ou non;</w:t>
            </w:r>
          </w:p>
          <w:p w14:paraId="34582B6E" w14:textId="77777777" w:rsidR="00F5516B" w:rsidRDefault="008A513B">
            <w:pPr>
              <w:widowControl w:val="0"/>
              <w:numPr>
                <w:ilvl w:val="1"/>
                <w:numId w:val="6"/>
              </w:numPr>
              <w:pBdr>
                <w:top w:val="nil"/>
                <w:left w:val="nil"/>
                <w:bottom w:val="nil"/>
                <w:right w:val="nil"/>
                <w:between w:val="nil"/>
              </w:pBdr>
              <w:spacing w:after="0" w:line="240" w:lineRule="auto"/>
              <w:rPr>
                <w:rFonts w:ascii="Times New Roman" w:eastAsia="Times New Roman" w:hAnsi="Times New Roman" w:cs="Times New Roman"/>
                <w:color w:val="212121"/>
                <w:sz w:val="20"/>
                <w:szCs w:val="20"/>
                <w:highlight w:val="white"/>
              </w:rPr>
            </w:pPr>
            <w:proofErr w:type="gramStart"/>
            <w:r>
              <w:rPr>
                <w:rFonts w:ascii="Times New Roman" w:eastAsia="Times New Roman" w:hAnsi="Times New Roman" w:cs="Times New Roman"/>
                <w:color w:val="212121"/>
                <w:sz w:val="20"/>
                <w:szCs w:val="20"/>
                <w:highlight w:val="white"/>
              </w:rPr>
              <w:t>changer</w:t>
            </w:r>
            <w:proofErr w:type="gramEnd"/>
            <w:r>
              <w:rPr>
                <w:rFonts w:ascii="Times New Roman" w:eastAsia="Times New Roman" w:hAnsi="Times New Roman" w:cs="Times New Roman"/>
                <w:color w:val="212121"/>
                <w:sz w:val="20"/>
                <w:szCs w:val="20"/>
                <w:highlight w:val="white"/>
              </w:rPr>
              <w:t xml:space="preserve"> 11 unités pour un bâtonnet.</w:t>
            </w:r>
          </w:p>
        </w:tc>
        <w:tc>
          <w:tcPr>
            <w:tcW w:w="3705" w:type="dxa"/>
            <w:shd w:val="clear" w:color="auto" w:fill="auto"/>
            <w:tcMar>
              <w:top w:w="100" w:type="dxa"/>
              <w:left w:w="100" w:type="dxa"/>
              <w:bottom w:w="100" w:type="dxa"/>
              <w:right w:w="100" w:type="dxa"/>
            </w:tcMar>
          </w:tcPr>
          <w:p w14:paraId="34582B6F" w14:textId="77777777" w:rsidR="00F5516B" w:rsidRDefault="008A513B">
            <w:pPr>
              <w:widowControl w:val="0"/>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212121"/>
                <w:sz w:val="20"/>
                <w:szCs w:val="20"/>
                <w:highlight w:val="white"/>
              </w:rPr>
            </w:pPr>
            <w:r>
              <w:rPr>
                <w:rFonts w:ascii="Times New Roman" w:eastAsia="Times New Roman" w:hAnsi="Times New Roman" w:cs="Times New Roman"/>
                <w:color w:val="212121"/>
                <w:sz w:val="20"/>
                <w:szCs w:val="20"/>
                <w:highlight w:val="white"/>
              </w:rPr>
              <w:t>Changer une pièce en 10 pièces dans une autre colonne (vice versa)</w:t>
            </w:r>
          </w:p>
          <w:p w14:paraId="34582B70" w14:textId="77777777" w:rsidR="00F5516B" w:rsidRDefault="008A513B">
            <w:pPr>
              <w:widowControl w:val="0"/>
              <w:numPr>
                <w:ilvl w:val="1"/>
                <w:numId w:val="4"/>
              </w:numPr>
              <w:pBdr>
                <w:top w:val="nil"/>
                <w:left w:val="nil"/>
                <w:bottom w:val="nil"/>
                <w:right w:val="nil"/>
                <w:between w:val="nil"/>
              </w:pBdr>
              <w:spacing w:after="0" w:line="240" w:lineRule="auto"/>
              <w:jc w:val="both"/>
              <w:rPr>
                <w:rFonts w:ascii="Times New Roman" w:eastAsia="Times New Roman" w:hAnsi="Times New Roman" w:cs="Times New Roman"/>
                <w:color w:val="212121"/>
                <w:sz w:val="20"/>
                <w:szCs w:val="20"/>
                <w:highlight w:val="white"/>
              </w:rPr>
            </w:pPr>
            <w:r>
              <w:rPr>
                <w:rFonts w:ascii="Times New Roman" w:eastAsia="Times New Roman" w:hAnsi="Times New Roman" w:cs="Times New Roman"/>
                <w:color w:val="212121"/>
                <w:sz w:val="20"/>
                <w:szCs w:val="20"/>
                <w:highlight w:val="white"/>
              </w:rPr>
              <w:t>En comptant correctement ou non 10 pièces</w:t>
            </w:r>
          </w:p>
          <w:p w14:paraId="34582B71" w14:textId="77777777" w:rsidR="00F5516B" w:rsidRDefault="008A513B">
            <w:pPr>
              <w:widowControl w:val="0"/>
              <w:numPr>
                <w:ilvl w:val="1"/>
                <w:numId w:val="4"/>
              </w:numPr>
              <w:pBdr>
                <w:top w:val="nil"/>
                <w:left w:val="nil"/>
                <w:bottom w:val="nil"/>
                <w:right w:val="nil"/>
                <w:between w:val="nil"/>
              </w:pBdr>
              <w:spacing w:after="0" w:line="240" w:lineRule="auto"/>
              <w:jc w:val="both"/>
              <w:rPr>
                <w:rFonts w:ascii="Times New Roman" w:eastAsia="Times New Roman" w:hAnsi="Times New Roman" w:cs="Times New Roman"/>
                <w:color w:val="212121"/>
                <w:sz w:val="20"/>
                <w:szCs w:val="20"/>
                <w:highlight w:val="white"/>
              </w:rPr>
            </w:pPr>
            <w:r>
              <w:rPr>
                <w:rFonts w:ascii="Times New Roman" w:eastAsia="Times New Roman" w:hAnsi="Times New Roman" w:cs="Times New Roman"/>
                <w:color w:val="212121"/>
                <w:sz w:val="20"/>
                <w:szCs w:val="20"/>
                <w:highlight w:val="white"/>
              </w:rPr>
              <w:t>(</w:t>
            </w:r>
            <w:proofErr w:type="gramStart"/>
            <w:r>
              <w:rPr>
                <w:rFonts w:ascii="Times New Roman" w:eastAsia="Times New Roman" w:hAnsi="Times New Roman" w:cs="Times New Roman"/>
                <w:color w:val="212121"/>
                <w:sz w:val="20"/>
                <w:szCs w:val="20"/>
                <w:highlight w:val="white"/>
              </w:rPr>
              <w:t>d’une</w:t>
            </w:r>
            <w:proofErr w:type="gramEnd"/>
            <w:r>
              <w:rPr>
                <w:rFonts w:ascii="Times New Roman" w:eastAsia="Times New Roman" w:hAnsi="Times New Roman" w:cs="Times New Roman"/>
                <w:color w:val="212121"/>
                <w:sz w:val="20"/>
                <w:szCs w:val="20"/>
                <w:highlight w:val="white"/>
              </w:rPr>
              <w:t xml:space="preserve"> dizaine à dix unités) en retirant une pièce de la colonne des unités et en ajoutant 10 nouvelles pièces.</w:t>
            </w:r>
          </w:p>
          <w:p w14:paraId="34582B72" w14:textId="77777777" w:rsidR="00F5516B" w:rsidRDefault="008A513B">
            <w:pPr>
              <w:widowControl w:val="0"/>
              <w:numPr>
                <w:ilvl w:val="1"/>
                <w:numId w:val="4"/>
              </w:numPr>
              <w:pBdr>
                <w:top w:val="nil"/>
                <w:left w:val="nil"/>
                <w:bottom w:val="nil"/>
                <w:right w:val="nil"/>
                <w:between w:val="nil"/>
              </w:pBdr>
              <w:spacing w:after="0" w:line="240" w:lineRule="auto"/>
              <w:jc w:val="both"/>
              <w:rPr>
                <w:rFonts w:ascii="Times New Roman" w:eastAsia="Times New Roman" w:hAnsi="Times New Roman" w:cs="Times New Roman"/>
                <w:color w:val="212121"/>
                <w:sz w:val="20"/>
                <w:szCs w:val="20"/>
                <w:highlight w:val="white"/>
              </w:rPr>
            </w:pPr>
            <w:r>
              <w:rPr>
                <w:rFonts w:ascii="Times New Roman" w:eastAsia="Times New Roman" w:hAnsi="Times New Roman" w:cs="Times New Roman"/>
                <w:color w:val="212121"/>
                <w:sz w:val="20"/>
                <w:szCs w:val="20"/>
                <w:highlight w:val="white"/>
              </w:rPr>
              <w:t>(De dix unités à une dizaine) en retirant toutes les pièces comptées ou non.</w:t>
            </w:r>
          </w:p>
          <w:p w14:paraId="34582B73" w14:textId="77777777" w:rsidR="00F5516B" w:rsidRDefault="008A513B">
            <w:pPr>
              <w:widowControl w:val="0"/>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212121"/>
                <w:sz w:val="20"/>
                <w:szCs w:val="20"/>
                <w:highlight w:val="white"/>
              </w:rPr>
            </w:pPr>
            <w:r>
              <w:rPr>
                <w:rFonts w:ascii="Times New Roman" w:eastAsia="Times New Roman" w:hAnsi="Times New Roman" w:cs="Times New Roman"/>
                <w:color w:val="212121"/>
                <w:sz w:val="20"/>
                <w:szCs w:val="20"/>
                <w:highlight w:val="white"/>
              </w:rPr>
              <w:t>En plaçant les pièces échangées dans la bonne ou dans la mauvaise colonne.</w:t>
            </w:r>
          </w:p>
        </w:tc>
      </w:tr>
      <w:tr w:rsidR="00F5516B" w14:paraId="34582B79" w14:textId="77777777">
        <w:tc>
          <w:tcPr>
            <w:tcW w:w="1860" w:type="dxa"/>
            <w:shd w:val="clear" w:color="auto" w:fill="auto"/>
            <w:tcMar>
              <w:top w:w="100" w:type="dxa"/>
              <w:left w:w="100" w:type="dxa"/>
              <w:bottom w:w="100" w:type="dxa"/>
              <w:right w:w="100" w:type="dxa"/>
            </w:tcMar>
          </w:tcPr>
          <w:p w14:paraId="34582B75" w14:textId="77777777" w:rsidR="00F5516B" w:rsidRDefault="008A513B">
            <w:pPr>
              <w:widowControl w:val="0"/>
              <w:pBdr>
                <w:top w:val="nil"/>
                <w:left w:val="nil"/>
                <w:bottom w:val="nil"/>
                <w:right w:val="nil"/>
                <w:between w:val="nil"/>
              </w:pBdr>
              <w:spacing w:after="0" w:line="240" w:lineRule="auto"/>
              <w:rPr>
                <w:rFonts w:ascii="Times New Roman" w:eastAsia="Times New Roman" w:hAnsi="Times New Roman" w:cs="Times New Roman"/>
                <w:b/>
                <w:color w:val="212121"/>
                <w:sz w:val="24"/>
                <w:szCs w:val="24"/>
                <w:highlight w:val="white"/>
              </w:rPr>
            </w:pPr>
            <w:r>
              <w:rPr>
                <w:rFonts w:ascii="Times New Roman" w:eastAsia="Times New Roman" w:hAnsi="Times New Roman" w:cs="Times New Roman"/>
                <w:b/>
                <w:color w:val="212121"/>
                <w:sz w:val="24"/>
                <w:szCs w:val="24"/>
                <w:highlight w:val="white"/>
              </w:rPr>
              <w:t>Interpréter</w:t>
            </w:r>
          </w:p>
        </w:tc>
        <w:tc>
          <w:tcPr>
            <w:tcW w:w="3840" w:type="dxa"/>
            <w:shd w:val="clear" w:color="auto" w:fill="auto"/>
            <w:tcMar>
              <w:top w:w="100" w:type="dxa"/>
              <w:left w:w="100" w:type="dxa"/>
              <w:bottom w:w="100" w:type="dxa"/>
              <w:right w:w="100" w:type="dxa"/>
            </w:tcMar>
          </w:tcPr>
          <w:p w14:paraId="34582B76" w14:textId="77777777" w:rsidR="00F5516B" w:rsidRDefault="008A513B">
            <w:pPr>
              <w:widowControl w:val="0"/>
              <w:numPr>
                <w:ilvl w:val="0"/>
                <w:numId w:val="8"/>
              </w:numPr>
              <w:pBdr>
                <w:top w:val="nil"/>
                <w:left w:val="nil"/>
                <w:bottom w:val="nil"/>
                <w:right w:val="nil"/>
                <w:between w:val="nil"/>
              </w:pBdr>
              <w:spacing w:after="0" w:line="240" w:lineRule="auto"/>
              <w:rPr>
                <w:rFonts w:ascii="Times New Roman" w:eastAsia="Times New Roman" w:hAnsi="Times New Roman" w:cs="Times New Roman"/>
                <w:color w:val="212121"/>
                <w:sz w:val="20"/>
                <w:szCs w:val="20"/>
                <w:highlight w:val="white"/>
              </w:rPr>
            </w:pPr>
            <w:r>
              <w:rPr>
                <w:rFonts w:ascii="Times New Roman" w:eastAsia="Times New Roman" w:hAnsi="Times New Roman" w:cs="Times New Roman"/>
                <w:color w:val="212121"/>
                <w:sz w:val="20"/>
                <w:szCs w:val="20"/>
                <w:highlight w:val="white"/>
              </w:rPr>
              <w:t>Associer la bonne valeur pour chaque sorte de blocs.</w:t>
            </w:r>
          </w:p>
        </w:tc>
        <w:tc>
          <w:tcPr>
            <w:tcW w:w="3705" w:type="dxa"/>
            <w:shd w:val="clear" w:color="auto" w:fill="auto"/>
            <w:tcMar>
              <w:top w:w="100" w:type="dxa"/>
              <w:left w:w="100" w:type="dxa"/>
              <w:bottom w:w="100" w:type="dxa"/>
              <w:right w:w="100" w:type="dxa"/>
            </w:tcMar>
          </w:tcPr>
          <w:p w14:paraId="34582B77" w14:textId="77777777" w:rsidR="00F5516B" w:rsidRDefault="008A513B">
            <w:pPr>
              <w:widowControl w:val="0"/>
              <w:numPr>
                <w:ilvl w:val="0"/>
                <w:numId w:val="9"/>
              </w:numPr>
              <w:pBdr>
                <w:top w:val="nil"/>
                <w:left w:val="nil"/>
                <w:bottom w:val="nil"/>
                <w:right w:val="nil"/>
                <w:between w:val="nil"/>
              </w:pBdr>
              <w:spacing w:after="0" w:line="240" w:lineRule="auto"/>
              <w:rPr>
                <w:rFonts w:ascii="Times New Roman" w:eastAsia="Times New Roman" w:hAnsi="Times New Roman" w:cs="Times New Roman"/>
                <w:color w:val="212121"/>
                <w:sz w:val="20"/>
                <w:szCs w:val="20"/>
                <w:highlight w:val="white"/>
              </w:rPr>
            </w:pPr>
            <w:r>
              <w:rPr>
                <w:rFonts w:ascii="Times New Roman" w:eastAsia="Times New Roman" w:hAnsi="Times New Roman" w:cs="Times New Roman"/>
                <w:color w:val="212121"/>
                <w:sz w:val="20"/>
                <w:szCs w:val="20"/>
                <w:highlight w:val="white"/>
              </w:rPr>
              <w:t>En associant la bonne colonne à chaque position</w:t>
            </w:r>
          </w:p>
          <w:p w14:paraId="34582B78" w14:textId="77777777" w:rsidR="00F5516B" w:rsidRDefault="008A513B">
            <w:pPr>
              <w:widowControl w:val="0"/>
              <w:numPr>
                <w:ilvl w:val="0"/>
                <w:numId w:val="9"/>
              </w:numPr>
              <w:pBdr>
                <w:top w:val="nil"/>
                <w:left w:val="nil"/>
                <w:bottom w:val="nil"/>
                <w:right w:val="nil"/>
                <w:between w:val="nil"/>
              </w:pBdr>
              <w:spacing w:after="0" w:line="240" w:lineRule="auto"/>
              <w:rPr>
                <w:rFonts w:ascii="Times New Roman" w:eastAsia="Times New Roman" w:hAnsi="Times New Roman" w:cs="Times New Roman"/>
                <w:color w:val="212121"/>
                <w:sz w:val="20"/>
                <w:szCs w:val="20"/>
                <w:highlight w:val="white"/>
              </w:rPr>
            </w:pPr>
            <w:r>
              <w:rPr>
                <w:rFonts w:ascii="Times New Roman" w:eastAsia="Times New Roman" w:hAnsi="Times New Roman" w:cs="Times New Roman"/>
                <w:color w:val="212121"/>
                <w:sz w:val="20"/>
                <w:szCs w:val="20"/>
                <w:highlight w:val="white"/>
              </w:rPr>
              <w:t>En utilisant une direction de lecture différente de celle utilisée lors de la représentation</w:t>
            </w:r>
          </w:p>
        </w:tc>
      </w:tr>
    </w:tbl>
    <w:p w14:paraId="34582B7A" w14:textId="77777777" w:rsidR="00F5516B" w:rsidRDefault="008A513B">
      <w:pPr>
        <w:jc w:val="center"/>
        <w:rPr>
          <w:rFonts w:ascii="Times New Roman" w:eastAsia="Times New Roman" w:hAnsi="Times New Roman" w:cs="Times New Roman"/>
          <w:color w:val="212121"/>
          <w:sz w:val="24"/>
          <w:szCs w:val="24"/>
          <w:highlight w:val="white"/>
        </w:rPr>
      </w:pPr>
      <w:bookmarkStart w:id="25" w:name="_qk02bg5nc31k" w:colFirst="0" w:colLast="0"/>
      <w:bookmarkEnd w:id="25"/>
      <w:r>
        <w:rPr>
          <w:rFonts w:ascii="Times New Roman" w:eastAsia="Times New Roman" w:hAnsi="Times New Roman" w:cs="Times New Roman"/>
          <w:b/>
          <w:i/>
          <w:color w:val="212121"/>
          <w:sz w:val="24"/>
          <w:szCs w:val="24"/>
          <w:highlight w:val="white"/>
        </w:rPr>
        <w:t>Tableau 2:</w:t>
      </w:r>
      <w:r>
        <w:rPr>
          <w:rFonts w:ascii="Times New Roman" w:eastAsia="Times New Roman" w:hAnsi="Times New Roman" w:cs="Times New Roman"/>
          <w:b/>
          <w:color w:val="212121"/>
          <w:sz w:val="24"/>
          <w:szCs w:val="24"/>
          <w:highlight w:val="white"/>
        </w:rPr>
        <w:t xml:space="preserve"> Actions posées par les élèves en relation aux caractéristiques de chaque matériel</w:t>
      </w:r>
      <w:r>
        <w:rPr>
          <w:rFonts w:ascii="Times New Roman" w:eastAsia="Times New Roman" w:hAnsi="Times New Roman" w:cs="Times New Roman"/>
          <w:color w:val="212121"/>
          <w:sz w:val="24"/>
          <w:szCs w:val="24"/>
          <w:highlight w:val="white"/>
        </w:rPr>
        <w:t>.</w:t>
      </w:r>
    </w:p>
    <w:p w14:paraId="34582B7B" w14:textId="77777777" w:rsidR="00F5516B" w:rsidRDefault="00F5516B">
      <w:pPr>
        <w:rPr>
          <w:rFonts w:ascii="Times New Roman" w:eastAsia="Times New Roman" w:hAnsi="Times New Roman" w:cs="Times New Roman"/>
          <w:b/>
          <w:color w:val="212121"/>
          <w:sz w:val="24"/>
          <w:szCs w:val="24"/>
          <w:highlight w:val="white"/>
        </w:rPr>
      </w:pPr>
      <w:bookmarkStart w:id="26" w:name="_d224mtsjuooc" w:colFirst="0" w:colLast="0"/>
      <w:bookmarkEnd w:id="26"/>
    </w:p>
    <w:p w14:paraId="34582B7C" w14:textId="77777777" w:rsidR="00F5516B" w:rsidRDefault="008A513B">
      <w:pPr>
        <w:rPr>
          <w:rFonts w:ascii="Times New Roman" w:eastAsia="Times New Roman" w:hAnsi="Times New Roman" w:cs="Times New Roman"/>
          <w:b/>
          <w:color w:val="212121"/>
          <w:sz w:val="24"/>
          <w:szCs w:val="24"/>
          <w:highlight w:val="white"/>
        </w:rPr>
      </w:pPr>
      <w:bookmarkStart w:id="27" w:name="_n5kp8cs5k7gb" w:colFirst="0" w:colLast="0"/>
      <w:bookmarkEnd w:id="27"/>
      <w:r>
        <w:rPr>
          <w:rFonts w:ascii="Times New Roman" w:eastAsia="Times New Roman" w:hAnsi="Times New Roman" w:cs="Times New Roman"/>
          <w:b/>
          <w:color w:val="212121"/>
          <w:sz w:val="24"/>
          <w:szCs w:val="24"/>
          <w:highlight w:val="white"/>
        </w:rPr>
        <w:t>Discussion</w:t>
      </w:r>
    </w:p>
    <w:p w14:paraId="34582B7D" w14:textId="77777777" w:rsidR="00F5516B" w:rsidRDefault="008A513B">
      <w:pPr>
        <w:jc w:val="both"/>
        <w:rPr>
          <w:rFonts w:ascii="Times New Roman" w:eastAsia="Times New Roman" w:hAnsi="Times New Roman" w:cs="Times New Roman"/>
          <w:color w:val="212121"/>
          <w:sz w:val="24"/>
          <w:szCs w:val="24"/>
        </w:rPr>
      </w:pPr>
      <w:bookmarkStart w:id="28" w:name="_88c0sj6mx4ed" w:colFirst="0" w:colLast="0"/>
      <w:bookmarkEnd w:id="28"/>
      <w:r>
        <w:rPr>
          <w:rFonts w:ascii="Times New Roman" w:eastAsia="Times New Roman" w:hAnsi="Times New Roman" w:cs="Times New Roman"/>
          <w:color w:val="212121"/>
          <w:sz w:val="24"/>
          <w:szCs w:val="24"/>
          <w:highlight w:val="white"/>
        </w:rPr>
        <w:t xml:space="preserve">À partir du tableau </w:t>
      </w:r>
      <w:r w:rsidRPr="000D6636">
        <w:rPr>
          <w:rFonts w:ascii="Times New Roman" w:eastAsia="Times New Roman" w:hAnsi="Times New Roman" w:cs="Times New Roman"/>
          <w:color w:val="212121"/>
          <w:sz w:val="24"/>
          <w:szCs w:val="24"/>
        </w:rPr>
        <w:t>présenté ci-haut, nous avons tenté de mieux comprendre ce que signifie de faire des mathématiques avec du matériel lors de l’apprentissage d</w:t>
      </w:r>
      <w:r w:rsidRPr="000D6636">
        <w:rPr>
          <w:rFonts w:ascii="Times New Roman" w:eastAsia="Times New Roman" w:hAnsi="Times New Roman" w:cs="Times New Roman"/>
          <w:color w:val="212121"/>
          <w:sz w:val="24"/>
          <w:szCs w:val="24"/>
        </w:rPr>
        <w:t xml:space="preserve">u sens du nombre et des habiletés de calcul au primaire. En examinant les caractéristiques associées à l’action, nous avons mis en lumière différentes </w:t>
      </w:r>
      <w:r w:rsidRPr="000D6636">
        <w:rPr>
          <w:rFonts w:ascii="Times New Roman" w:eastAsia="Times New Roman" w:hAnsi="Times New Roman" w:cs="Times New Roman"/>
          <w:color w:val="212121"/>
          <w:sz w:val="24"/>
          <w:szCs w:val="24"/>
        </w:rPr>
        <w:t>affordances</w:t>
      </w:r>
      <w:r w:rsidRPr="000D6636">
        <w:rPr>
          <w:rFonts w:ascii="Times New Roman" w:eastAsia="Times New Roman" w:hAnsi="Times New Roman" w:cs="Times New Roman"/>
          <w:color w:val="212121"/>
          <w:sz w:val="24"/>
          <w:szCs w:val="24"/>
        </w:rPr>
        <w:t xml:space="preserve">. Même si certaines </w:t>
      </w:r>
      <w:r w:rsidRPr="000D6636">
        <w:rPr>
          <w:rFonts w:ascii="Times New Roman" w:eastAsia="Times New Roman" w:hAnsi="Times New Roman" w:cs="Times New Roman"/>
          <w:color w:val="212121"/>
          <w:sz w:val="24"/>
          <w:szCs w:val="24"/>
        </w:rPr>
        <w:t>affordances</w:t>
      </w:r>
      <w:r w:rsidRPr="000D6636">
        <w:rPr>
          <w:rFonts w:ascii="Times New Roman" w:eastAsia="Times New Roman" w:hAnsi="Times New Roman" w:cs="Times New Roman"/>
          <w:color w:val="212121"/>
          <w:sz w:val="24"/>
          <w:szCs w:val="24"/>
        </w:rPr>
        <w:t xml:space="preserve"> sont partagées, d’autres sont spécifiques à un matériel. Dans </w:t>
      </w:r>
      <w:r w:rsidRPr="000D6636">
        <w:rPr>
          <w:rFonts w:ascii="Times New Roman" w:eastAsia="Times New Roman" w:hAnsi="Times New Roman" w:cs="Times New Roman"/>
          <w:color w:val="212121"/>
          <w:sz w:val="24"/>
          <w:szCs w:val="24"/>
        </w:rPr>
        <w:t xml:space="preserve">cette section, nous discutons davantage d'une idée de ce que nous avons analysé. Cette idée nous permet de mettre en lumière certaines différences dans les actions des élèves qui sont associées aux caractéristiques du matériel. Aussi, le fait de discuter </w:t>
      </w:r>
      <w:r w:rsidRPr="000D6636">
        <w:rPr>
          <w:rFonts w:ascii="Times New Roman" w:eastAsia="Times New Roman" w:hAnsi="Times New Roman" w:cs="Times New Roman"/>
          <w:color w:val="212121"/>
          <w:sz w:val="24"/>
          <w:szCs w:val="24"/>
        </w:rPr>
        <w:t>d</w:t>
      </w:r>
      <w:r w:rsidRPr="000D6636">
        <w:rPr>
          <w:rFonts w:ascii="Times New Roman" w:eastAsia="Times New Roman" w:hAnsi="Times New Roman" w:cs="Times New Roman"/>
          <w:color w:val="212121"/>
          <w:sz w:val="24"/>
          <w:szCs w:val="24"/>
        </w:rPr>
        <w:t>’affordance</w:t>
      </w:r>
      <w:r w:rsidRPr="000D6636">
        <w:rPr>
          <w:rFonts w:ascii="Times New Roman" w:eastAsia="Times New Roman" w:hAnsi="Times New Roman" w:cs="Times New Roman"/>
          <w:color w:val="212121"/>
          <w:sz w:val="24"/>
          <w:szCs w:val="24"/>
        </w:rPr>
        <w:t xml:space="preserve"> correspond à parler de ce qui peut être observé, mais qui ne l’est pas. Autant ce qui est observé que ce qui ne l’est pas transmettent des informations sur la pratique du matériel de manipulation en</w:t>
      </w:r>
      <w:r>
        <w:rPr>
          <w:rFonts w:ascii="Times New Roman" w:eastAsia="Times New Roman" w:hAnsi="Times New Roman" w:cs="Times New Roman"/>
          <w:color w:val="212121"/>
          <w:sz w:val="24"/>
          <w:szCs w:val="24"/>
        </w:rPr>
        <w:t xml:space="preserve"> classe.</w:t>
      </w:r>
    </w:p>
    <w:p w14:paraId="34582B7E" w14:textId="77777777" w:rsidR="00F5516B" w:rsidRDefault="008A513B">
      <w:pPr>
        <w:jc w:val="both"/>
        <w:rPr>
          <w:rFonts w:ascii="Times New Roman" w:eastAsia="Times New Roman" w:hAnsi="Times New Roman" w:cs="Times New Roman"/>
          <w:b/>
          <w:color w:val="212121"/>
          <w:sz w:val="24"/>
          <w:szCs w:val="24"/>
        </w:rPr>
      </w:pPr>
      <w:bookmarkStart w:id="29" w:name="_wc1lqrruipdq" w:colFirst="0" w:colLast="0"/>
      <w:bookmarkEnd w:id="29"/>
      <w:r>
        <w:rPr>
          <w:rFonts w:ascii="Times New Roman" w:eastAsia="Times New Roman" w:hAnsi="Times New Roman" w:cs="Times New Roman"/>
          <w:b/>
          <w:color w:val="212121"/>
          <w:sz w:val="24"/>
          <w:szCs w:val="24"/>
        </w:rPr>
        <w:t>Compter encore et encore</w:t>
      </w:r>
    </w:p>
    <w:p w14:paraId="34582B7F" w14:textId="77777777" w:rsidR="00F5516B" w:rsidRDefault="008A513B">
      <w:pPr>
        <w:jc w:val="both"/>
        <w:rPr>
          <w:rFonts w:ascii="Times New Roman" w:eastAsia="Times New Roman" w:hAnsi="Times New Roman" w:cs="Times New Roman"/>
          <w:color w:val="212121"/>
          <w:sz w:val="24"/>
          <w:szCs w:val="24"/>
        </w:rPr>
      </w:pPr>
      <w:bookmarkStart w:id="30" w:name="_9rakozy3l4rf" w:colFirst="0" w:colLast="0"/>
      <w:bookmarkEnd w:id="30"/>
      <w:r>
        <w:rPr>
          <w:rFonts w:ascii="Times New Roman" w:eastAsia="Times New Roman" w:hAnsi="Times New Roman" w:cs="Times New Roman"/>
          <w:color w:val="212121"/>
          <w:sz w:val="24"/>
          <w:szCs w:val="24"/>
          <w:highlight w:val="white"/>
        </w:rPr>
        <w:t>Dans les pre</w:t>
      </w:r>
      <w:r>
        <w:rPr>
          <w:rFonts w:ascii="Times New Roman" w:eastAsia="Times New Roman" w:hAnsi="Times New Roman" w:cs="Times New Roman"/>
          <w:color w:val="212121"/>
          <w:sz w:val="24"/>
          <w:szCs w:val="24"/>
          <w:highlight w:val="white"/>
        </w:rPr>
        <w:t>mières années du primaire, les élèves sont habitués à dénombrer pour résoudre des problèmes. L’enseignant tente d’enrichir leur sens du nombre en transformant leur dénombrement en des stratégies plus complexes (avec des faits numériques, compléments de dix</w:t>
      </w:r>
      <w:r>
        <w:rPr>
          <w:rFonts w:ascii="Times New Roman" w:eastAsia="Times New Roman" w:hAnsi="Times New Roman" w:cs="Times New Roman"/>
          <w:color w:val="212121"/>
          <w:sz w:val="24"/>
          <w:szCs w:val="24"/>
          <w:highlight w:val="white"/>
        </w:rPr>
        <w:t>, disposition visuelle, etc.). Toutefois, pour la plupart des élèves, le dénombrement, encouragé par l’utilisation du matériel, prend le dessus sur les habiletés de calculs et entraîne une perte de contrôle des activités mathématiques des élèves. Lors de l</w:t>
      </w:r>
      <w:r>
        <w:rPr>
          <w:rFonts w:ascii="Times New Roman" w:eastAsia="Times New Roman" w:hAnsi="Times New Roman" w:cs="Times New Roman"/>
          <w:color w:val="212121"/>
          <w:sz w:val="24"/>
          <w:szCs w:val="24"/>
          <w:highlight w:val="white"/>
        </w:rPr>
        <w:t>’utilisation de blocs de base dix, la plupart des élèves comptent les blocs par petites quantités. Par exemple, quand ils ajoutent 3 à 9 unités, nous avons observé que les élèves comptaient trois unités, puis ils comptaient 9 unités, les plaçaient ensemble</w:t>
      </w:r>
      <w:r>
        <w:rPr>
          <w:rFonts w:ascii="Times New Roman" w:eastAsia="Times New Roman" w:hAnsi="Times New Roman" w:cs="Times New Roman"/>
          <w:color w:val="212121"/>
          <w:sz w:val="24"/>
          <w:szCs w:val="24"/>
          <w:highlight w:val="white"/>
        </w:rPr>
        <w:t xml:space="preserve">, </w:t>
      </w:r>
      <w:r>
        <w:rPr>
          <w:rFonts w:ascii="Times New Roman" w:eastAsia="Times New Roman" w:hAnsi="Times New Roman" w:cs="Times New Roman"/>
          <w:color w:val="212121"/>
          <w:sz w:val="24"/>
          <w:szCs w:val="24"/>
          <w:highlight w:val="white"/>
        </w:rPr>
        <w:lastRenderedPageBreak/>
        <w:t>comptaient le total, obtenaient 12 unités puis comptaient 10 unités pour les échanger contre une dizaine</w:t>
      </w:r>
      <w:r>
        <w:rPr>
          <w:rFonts w:ascii="Times New Roman" w:eastAsia="Times New Roman" w:hAnsi="Times New Roman" w:cs="Times New Roman"/>
          <w:color w:val="212121"/>
          <w:sz w:val="24"/>
          <w:szCs w:val="24"/>
        </w:rPr>
        <w:t>. Cela peut sembler banal dans la mesure où la stratégie de dénombrement est maîtrisée; cela ne signifie pas qu’il y a un manque de contrôle. D’un aut</w:t>
      </w:r>
      <w:r>
        <w:rPr>
          <w:rFonts w:ascii="Times New Roman" w:eastAsia="Times New Roman" w:hAnsi="Times New Roman" w:cs="Times New Roman"/>
          <w:color w:val="212121"/>
          <w:sz w:val="24"/>
          <w:szCs w:val="24"/>
        </w:rPr>
        <w:t xml:space="preserve">re côté, nous avons observé plusieurs erreurs qui découlent de cette façon de faire </w:t>
      </w:r>
      <w:proofErr w:type="gramStart"/>
      <w:r>
        <w:rPr>
          <w:rFonts w:ascii="Times New Roman" w:eastAsia="Times New Roman" w:hAnsi="Times New Roman" w:cs="Times New Roman"/>
          <w:color w:val="212121"/>
          <w:sz w:val="24"/>
          <w:szCs w:val="24"/>
        </w:rPr>
        <w:t>malgré</w:t>
      </w:r>
      <w:proofErr w:type="gramEnd"/>
      <w:r>
        <w:rPr>
          <w:rFonts w:ascii="Times New Roman" w:eastAsia="Times New Roman" w:hAnsi="Times New Roman" w:cs="Times New Roman"/>
          <w:color w:val="212121"/>
          <w:sz w:val="24"/>
          <w:szCs w:val="24"/>
        </w:rPr>
        <w:t xml:space="preserve"> que les élèves connaissent leurs faits numériques. Par exemple, un élève avait pris 8 unités, mais en comptait 9. Ainsi, quand il a ajouté 3 unités et compté le tota</w:t>
      </w:r>
      <w:r>
        <w:rPr>
          <w:rFonts w:ascii="Times New Roman" w:eastAsia="Times New Roman" w:hAnsi="Times New Roman" w:cs="Times New Roman"/>
          <w:color w:val="212121"/>
          <w:sz w:val="24"/>
          <w:szCs w:val="24"/>
        </w:rPr>
        <w:t>l, il a obtenu 11 unités (non pas 12). Il a continué ses calculs avec 11 unités et a obtenu une réponse vraiment près de la bonne, mais qui était fausse. Cependant, plus loin dans la vidéo, nous l’avons observé mentionner à un autre élève que 9 plus 3 donn</w:t>
      </w:r>
      <w:r>
        <w:rPr>
          <w:rFonts w:ascii="Times New Roman" w:eastAsia="Times New Roman" w:hAnsi="Times New Roman" w:cs="Times New Roman"/>
          <w:color w:val="212121"/>
          <w:sz w:val="24"/>
          <w:szCs w:val="24"/>
        </w:rPr>
        <w:t>e 12.</w:t>
      </w:r>
    </w:p>
    <w:p w14:paraId="34582B80" w14:textId="77777777" w:rsidR="00F5516B" w:rsidRDefault="008A513B">
      <w:pPr>
        <w:jc w:val="both"/>
        <w:rPr>
          <w:rFonts w:ascii="Times New Roman" w:eastAsia="Times New Roman" w:hAnsi="Times New Roman" w:cs="Times New Roman"/>
          <w:color w:val="212121"/>
          <w:sz w:val="24"/>
          <w:szCs w:val="24"/>
        </w:rPr>
      </w:pPr>
      <w:bookmarkStart w:id="31" w:name="_xbbhm6l474hn" w:colFirst="0" w:colLast="0"/>
      <w:bookmarkEnd w:id="31"/>
      <w:r>
        <w:rPr>
          <w:rFonts w:ascii="Times New Roman" w:eastAsia="Times New Roman" w:hAnsi="Times New Roman" w:cs="Times New Roman"/>
          <w:color w:val="212121"/>
          <w:sz w:val="24"/>
          <w:szCs w:val="24"/>
        </w:rPr>
        <w:t>Également, même si les élèves étaient capables de grouper par dix et de les dégrouper, ils ne s’appuient pas sur cette propriété encore visible des blocs de base dix. Ils préfèrent dénombrer. Par exemple, à nouveau, pour ajouter 3 à 9 unités, les élè</w:t>
      </w:r>
      <w:r>
        <w:rPr>
          <w:rFonts w:ascii="Times New Roman" w:eastAsia="Times New Roman" w:hAnsi="Times New Roman" w:cs="Times New Roman"/>
          <w:color w:val="212121"/>
          <w:sz w:val="24"/>
          <w:szCs w:val="24"/>
        </w:rPr>
        <w:t xml:space="preserve">ves peuvent avoir pris une dizaine et garder seulement deux unités, mais ils comptent tels que décrits plus haut. </w:t>
      </w:r>
    </w:p>
    <w:p w14:paraId="34582B81" w14:textId="77777777" w:rsidR="00F5516B" w:rsidRDefault="008A513B">
      <w:pPr>
        <w:jc w:val="both"/>
        <w:rPr>
          <w:rFonts w:ascii="Times New Roman" w:eastAsia="Times New Roman" w:hAnsi="Times New Roman" w:cs="Times New Roman"/>
          <w:color w:val="212121"/>
          <w:sz w:val="24"/>
          <w:szCs w:val="24"/>
        </w:rPr>
      </w:pPr>
      <w:bookmarkStart w:id="32" w:name="_z3232ih6hodq" w:colFirst="0" w:colLast="0"/>
      <w:bookmarkEnd w:id="32"/>
      <w:r>
        <w:rPr>
          <w:rFonts w:ascii="Times New Roman" w:eastAsia="Times New Roman" w:hAnsi="Times New Roman" w:cs="Times New Roman"/>
          <w:color w:val="212121"/>
          <w:sz w:val="24"/>
          <w:szCs w:val="24"/>
        </w:rPr>
        <w:t>Cependant, alors que nous avons observé la même façon de faire avec un abaque, nous avons aussi vu des stratégies plus complexes. Par exemple</w:t>
      </w:r>
      <w:r>
        <w:rPr>
          <w:rFonts w:ascii="Times New Roman" w:eastAsia="Times New Roman" w:hAnsi="Times New Roman" w:cs="Times New Roman"/>
          <w:color w:val="212121"/>
          <w:sz w:val="24"/>
          <w:szCs w:val="24"/>
        </w:rPr>
        <w:t>, quand nous additionnons 9 et 3, un élève a additionné à 10. Cependant, il n’est pas parvenu à coordonner son action avec l’abaque et l’opération mentale.</w:t>
      </w:r>
    </w:p>
    <w:p w14:paraId="34582B82" w14:textId="77777777" w:rsidR="00F5516B" w:rsidRDefault="008A513B">
      <w:pPr>
        <w:jc w:val="both"/>
        <w:rPr>
          <w:rFonts w:ascii="Times New Roman" w:eastAsia="Times New Roman" w:hAnsi="Times New Roman" w:cs="Times New Roman"/>
          <w:color w:val="212121"/>
          <w:sz w:val="24"/>
          <w:szCs w:val="24"/>
        </w:rPr>
      </w:pPr>
      <w:bookmarkStart w:id="33" w:name="_scgu3xl9nwhv" w:colFirst="0" w:colLast="0"/>
      <w:bookmarkEnd w:id="33"/>
      <w:r>
        <w:rPr>
          <w:rFonts w:ascii="Times New Roman" w:eastAsia="Times New Roman" w:hAnsi="Times New Roman" w:cs="Times New Roman"/>
          <w:color w:val="212121"/>
          <w:sz w:val="24"/>
          <w:szCs w:val="24"/>
        </w:rPr>
        <w:t>En bref, la principale action observée pendant la tâche est le dénombrement. Dénombrer encore et enc</w:t>
      </w:r>
      <w:r>
        <w:rPr>
          <w:rFonts w:ascii="Times New Roman" w:eastAsia="Times New Roman" w:hAnsi="Times New Roman" w:cs="Times New Roman"/>
          <w:color w:val="212121"/>
          <w:sz w:val="24"/>
          <w:szCs w:val="24"/>
        </w:rPr>
        <w:t>ore semblait diviser la tâche globale en sous-tâches de dénombrement. Après chaque sous-tâche, la plupart des élèves avaient à penser à nouveau à ce qu’ils étaient en train de faire et ils sont pris dans un cercle vicieux: penser à la tâche globale leur fa</w:t>
      </w:r>
      <w:r>
        <w:rPr>
          <w:rFonts w:ascii="Times New Roman" w:eastAsia="Times New Roman" w:hAnsi="Times New Roman" w:cs="Times New Roman"/>
          <w:color w:val="212121"/>
          <w:sz w:val="24"/>
          <w:szCs w:val="24"/>
        </w:rPr>
        <w:t>it oublier le dénombrement qu’ils ont fait et le fait de dénombrer à nouveau leur fait oublier la tâche globale. Avec le matériel, c’est difficile de garder la trace de ce qui est fait et ce qui doit être fait.</w:t>
      </w:r>
    </w:p>
    <w:p w14:paraId="34582B83" w14:textId="77777777" w:rsidR="00F5516B" w:rsidRDefault="008A513B">
      <w:pPr>
        <w:jc w:val="both"/>
        <w:rPr>
          <w:rFonts w:ascii="Times New Roman" w:eastAsia="Times New Roman" w:hAnsi="Times New Roman" w:cs="Times New Roman"/>
          <w:color w:val="212121"/>
          <w:sz w:val="24"/>
          <w:szCs w:val="24"/>
          <w:highlight w:val="white"/>
        </w:rPr>
      </w:pPr>
      <w:bookmarkStart w:id="34" w:name="_96vdoztaiesp" w:colFirst="0" w:colLast="0"/>
      <w:bookmarkEnd w:id="34"/>
      <w:r>
        <w:rPr>
          <w:rFonts w:ascii="Times New Roman" w:eastAsia="Times New Roman" w:hAnsi="Times New Roman" w:cs="Times New Roman"/>
          <w:color w:val="212121"/>
          <w:sz w:val="24"/>
          <w:szCs w:val="24"/>
        </w:rPr>
        <w:t>Est-ce que cela signifie que l’utilisation de matériel suggère seulement cette façon de faire pour ces élèves? Il y a plus d’une réponse à cette question. D’un côté, c’est le cas parce que même si ce n’est pas toujours nécessaire, il y a toujours du dénomb</w:t>
      </w:r>
      <w:r>
        <w:rPr>
          <w:rFonts w:ascii="Times New Roman" w:eastAsia="Times New Roman" w:hAnsi="Times New Roman" w:cs="Times New Roman"/>
          <w:color w:val="212121"/>
          <w:sz w:val="24"/>
          <w:szCs w:val="24"/>
        </w:rPr>
        <w:t xml:space="preserve">rement à faire. Utiliser du matériel pour additionner et soustraire implique de compter des objets physiques. L’aspect physique du matériel impose cette façon de faire. </w:t>
      </w:r>
      <w:proofErr w:type="gramStart"/>
      <w:r>
        <w:rPr>
          <w:rFonts w:ascii="Times New Roman" w:eastAsia="Times New Roman" w:hAnsi="Times New Roman" w:cs="Times New Roman"/>
          <w:color w:val="212121"/>
          <w:sz w:val="24"/>
          <w:szCs w:val="24"/>
        </w:rPr>
        <w:t>Par contre</w:t>
      </w:r>
      <w:proofErr w:type="gramEnd"/>
      <w:r>
        <w:rPr>
          <w:rFonts w:ascii="Times New Roman" w:eastAsia="Times New Roman" w:hAnsi="Times New Roman" w:cs="Times New Roman"/>
          <w:color w:val="212121"/>
          <w:sz w:val="24"/>
          <w:szCs w:val="24"/>
        </w:rPr>
        <w:t>, le dénombrement n’est pas toujours la stratégie la plus efficace à utiliser</w:t>
      </w:r>
      <w:r>
        <w:rPr>
          <w:rFonts w:ascii="Times New Roman" w:eastAsia="Times New Roman" w:hAnsi="Times New Roman" w:cs="Times New Roman"/>
          <w:color w:val="212121"/>
          <w:sz w:val="24"/>
          <w:szCs w:val="24"/>
        </w:rPr>
        <w:t xml:space="preserve"> ici. Bien sûr, l’environnement c’est-à-dire les activités habituelles de la classe contribue à renforcer cette stratégie. Tel que mentionné il y a plusieurs années par des chercheurs (p. ex. </w:t>
      </w:r>
      <w:proofErr w:type="spellStart"/>
      <w:r>
        <w:rPr>
          <w:rFonts w:ascii="Times New Roman" w:eastAsia="Times New Roman" w:hAnsi="Times New Roman" w:cs="Times New Roman"/>
          <w:color w:val="212121"/>
          <w:sz w:val="24"/>
          <w:szCs w:val="24"/>
        </w:rPr>
        <w:t>Bednarz</w:t>
      </w:r>
      <w:proofErr w:type="spellEnd"/>
      <w:r>
        <w:rPr>
          <w:rFonts w:ascii="Times New Roman" w:eastAsia="Times New Roman" w:hAnsi="Times New Roman" w:cs="Times New Roman"/>
          <w:color w:val="212121"/>
          <w:sz w:val="24"/>
          <w:szCs w:val="24"/>
        </w:rPr>
        <w:t xml:space="preserve"> et Janvier, 1982), les tâches performées avec l’aide du </w:t>
      </w:r>
      <w:r>
        <w:rPr>
          <w:rFonts w:ascii="Times New Roman" w:eastAsia="Times New Roman" w:hAnsi="Times New Roman" w:cs="Times New Roman"/>
          <w:color w:val="212121"/>
          <w:sz w:val="24"/>
          <w:szCs w:val="24"/>
        </w:rPr>
        <w:t xml:space="preserve">matériel de manipulation reposent essentiellement sur la représentation des nombres et la “traduction”, un travail sur la représentation des nombres dans notre système de numération. </w:t>
      </w:r>
      <w:r>
        <w:rPr>
          <w:rFonts w:ascii="Times New Roman" w:eastAsia="Times New Roman" w:hAnsi="Times New Roman" w:cs="Times New Roman"/>
          <w:color w:val="212121"/>
          <w:sz w:val="24"/>
          <w:szCs w:val="24"/>
          <w:highlight w:val="white"/>
        </w:rPr>
        <w:t>Comme les élèves ont vraisemblablement utilisé des blocs de base dix prin</w:t>
      </w:r>
      <w:r>
        <w:rPr>
          <w:rFonts w:ascii="Times New Roman" w:eastAsia="Times New Roman" w:hAnsi="Times New Roman" w:cs="Times New Roman"/>
          <w:color w:val="212121"/>
          <w:sz w:val="24"/>
          <w:szCs w:val="24"/>
          <w:highlight w:val="white"/>
        </w:rPr>
        <w:t>cipalement pour compter et plutôt que pour opérer en coordination avec d’autres stratégies, on peut penser que la pratique de ce matériel est associée immédiatement à compter. Alors que nous tendons à croire que l’utilisation du matériel de manipulation su</w:t>
      </w:r>
      <w:r>
        <w:rPr>
          <w:rFonts w:ascii="Times New Roman" w:eastAsia="Times New Roman" w:hAnsi="Times New Roman" w:cs="Times New Roman"/>
          <w:color w:val="212121"/>
          <w:sz w:val="24"/>
          <w:szCs w:val="24"/>
          <w:highlight w:val="white"/>
        </w:rPr>
        <w:t>pporte le raisonnement mathématique, dans ce cas, nous observons plutôt que les élèves réfèrent à un raisonnement plus simple que ce qu’ils peuvent utiliser. En fait, nous observons davantage de stratégies plus avancées avec l’abaque qui est moins familier</w:t>
      </w:r>
      <w:r>
        <w:rPr>
          <w:rFonts w:ascii="Times New Roman" w:eastAsia="Times New Roman" w:hAnsi="Times New Roman" w:cs="Times New Roman"/>
          <w:color w:val="212121"/>
          <w:sz w:val="24"/>
          <w:szCs w:val="24"/>
          <w:highlight w:val="white"/>
        </w:rPr>
        <w:t xml:space="preserve"> pour eux que les blocs de base dix qu’ils utilisent depuis la première année. Pour McNeil et </w:t>
      </w:r>
      <w:proofErr w:type="spellStart"/>
      <w:r>
        <w:rPr>
          <w:rFonts w:ascii="Times New Roman" w:eastAsia="Times New Roman" w:hAnsi="Times New Roman" w:cs="Times New Roman"/>
          <w:color w:val="212121"/>
          <w:sz w:val="24"/>
          <w:szCs w:val="24"/>
          <w:highlight w:val="white"/>
        </w:rPr>
        <w:t>Jarvin</w:t>
      </w:r>
      <w:proofErr w:type="spellEnd"/>
      <w:r>
        <w:rPr>
          <w:rFonts w:ascii="Times New Roman" w:eastAsia="Times New Roman" w:hAnsi="Times New Roman" w:cs="Times New Roman"/>
          <w:color w:val="212121"/>
          <w:sz w:val="24"/>
          <w:szCs w:val="24"/>
          <w:highlight w:val="white"/>
        </w:rPr>
        <w:t xml:space="preserve"> (2007), travailler avec du matériel familier peut attirer l’attention des élèves vers l’erreur. Dans notre cas, </w:t>
      </w:r>
      <w:r>
        <w:rPr>
          <w:rFonts w:ascii="Times New Roman" w:eastAsia="Times New Roman" w:hAnsi="Times New Roman" w:cs="Times New Roman"/>
          <w:color w:val="212121"/>
          <w:sz w:val="24"/>
          <w:szCs w:val="24"/>
          <w:highlight w:val="white"/>
        </w:rPr>
        <w:lastRenderedPageBreak/>
        <w:t>ce n’est pas qu’ils ont pris une mauvaise d</w:t>
      </w:r>
      <w:r>
        <w:rPr>
          <w:rFonts w:ascii="Times New Roman" w:eastAsia="Times New Roman" w:hAnsi="Times New Roman" w:cs="Times New Roman"/>
          <w:color w:val="212121"/>
          <w:sz w:val="24"/>
          <w:szCs w:val="24"/>
          <w:highlight w:val="white"/>
        </w:rPr>
        <w:t>irection, mais le matériel semble mener vers des stratégies moins avancées et une certaine perte de contrôle.</w:t>
      </w:r>
    </w:p>
    <w:p w14:paraId="34582B84" w14:textId="77777777" w:rsidR="00F5516B" w:rsidRDefault="00F5516B">
      <w:pPr>
        <w:jc w:val="both"/>
        <w:rPr>
          <w:rFonts w:ascii="Times New Roman" w:eastAsia="Times New Roman" w:hAnsi="Times New Roman" w:cs="Times New Roman"/>
          <w:color w:val="212121"/>
          <w:sz w:val="24"/>
          <w:szCs w:val="24"/>
          <w:highlight w:val="white"/>
        </w:rPr>
      </w:pPr>
      <w:bookmarkStart w:id="35" w:name="_kyxgwphsydoh" w:colFirst="0" w:colLast="0"/>
      <w:bookmarkEnd w:id="35"/>
    </w:p>
    <w:p w14:paraId="34582B85" w14:textId="77777777" w:rsidR="00F5516B" w:rsidRPr="004832ED" w:rsidRDefault="008A513B">
      <w:pPr>
        <w:jc w:val="both"/>
        <w:rPr>
          <w:rFonts w:ascii="Times New Roman" w:eastAsia="Times New Roman" w:hAnsi="Times New Roman" w:cs="Times New Roman"/>
          <w:b/>
          <w:color w:val="212121"/>
          <w:sz w:val="24"/>
          <w:szCs w:val="24"/>
          <w:highlight w:val="white"/>
          <w:lang w:val="en-US"/>
        </w:rPr>
      </w:pPr>
      <w:bookmarkStart w:id="36" w:name="_4vm3o2l64gyn" w:colFirst="0" w:colLast="0"/>
      <w:bookmarkEnd w:id="36"/>
      <w:r w:rsidRPr="004832ED">
        <w:rPr>
          <w:rFonts w:ascii="Times New Roman" w:eastAsia="Times New Roman" w:hAnsi="Times New Roman" w:cs="Times New Roman"/>
          <w:b/>
          <w:color w:val="212121"/>
          <w:sz w:val="24"/>
          <w:szCs w:val="24"/>
          <w:highlight w:val="white"/>
          <w:lang w:val="en-US"/>
        </w:rPr>
        <w:t>Conclusion</w:t>
      </w:r>
    </w:p>
    <w:p w14:paraId="34582B86" w14:textId="160C70ED" w:rsidR="00F5516B" w:rsidRPr="000D6636" w:rsidRDefault="008A513B">
      <w:pPr>
        <w:jc w:val="both"/>
        <w:rPr>
          <w:rFonts w:ascii="Times New Roman" w:eastAsia="Times New Roman" w:hAnsi="Times New Roman" w:cs="Times New Roman"/>
          <w:color w:val="212121"/>
          <w:sz w:val="24"/>
          <w:szCs w:val="24"/>
        </w:rPr>
      </w:pPr>
      <w:bookmarkStart w:id="37" w:name="_wgdla9ob2548" w:colFirst="0" w:colLast="0"/>
      <w:bookmarkEnd w:id="37"/>
      <w:proofErr w:type="spellStart"/>
      <w:r w:rsidRPr="004832ED">
        <w:rPr>
          <w:rFonts w:ascii="Times New Roman" w:eastAsia="Times New Roman" w:hAnsi="Times New Roman" w:cs="Times New Roman"/>
          <w:color w:val="212121"/>
          <w:sz w:val="24"/>
          <w:szCs w:val="24"/>
          <w:lang w:val="en-US"/>
        </w:rPr>
        <w:t>Carbonneau</w:t>
      </w:r>
      <w:proofErr w:type="spellEnd"/>
      <w:r w:rsidRPr="004832ED">
        <w:rPr>
          <w:rFonts w:ascii="Times New Roman" w:eastAsia="Times New Roman" w:hAnsi="Times New Roman" w:cs="Times New Roman"/>
          <w:color w:val="212121"/>
          <w:sz w:val="24"/>
          <w:szCs w:val="24"/>
          <w:lang w:val="en-US"/>
        </w:rPr>
        <w:t xml:space="preserve"> et al. (2013) </w:t>
      </w:r>
      <w:proofErr w:type="spellStart"/>
      <w:r w:rsidRPr="004832ED">
        <w:rPr>
          <w:rFonts w:ascii="Times New Roman" w:eastAsia="Times New Roman" w:hAnsi="Times New Roman" w:cs="Times New Roman"/>
          <w:color w:val="212121"/>
          <w:sz w:val="24"/>
          <w:szCs w:val="24"/>
          <w:lang w:val="en-US"/>
        </w:rPr>
        <w:t>ont</w:t>
      </w:r>
      <w:proofErr w:type="spellEnd"/>
      <w:r w:rsidRPr="004832ED">
        <w:rPr>
          <w:rFonts w:ascii="Times New Roman" w:eastAsia="Times New Roman" w:hAnsi="Times New Roman" w:cs="Times New Roman"/>
          <w:color w:val="212121"/>
          <w:sz w:val="24"/>
          <w:szCs w:val="24"/>
          <w:lang w:val="en-US"/>
        </w:rPr>
        <w:t xml:space="preserve"> </w:t>
      </w:r>
      <w:proofErr w:type="spellStart"/>
      <w:r w:rsidRPr="000D6636">
        <w:rPr>
          <w:rFonts w:ascii="Times New Roman" w:eastAsia="Times New Roman" w:hAnsi="Times New Roman" w:cs="Times New Roman"/>
          <w:color w:val="212121"/>
          <w:sz w:val="24"/>
          <w:szCs w:val="24"/>
          <w:lang w:val="en-US"/>
        </w:rPr>
        <w:t>mentionné</w:t>
      </w:r>
      <w:proofErr w:type="spellEnd"/>
      <w:r w:rsidRPr="000D6636">
        <w:rPr>
          <w:rFonts w:ascii="Times New Roman" w:eastAsia="Times New Roman" w:hAnsi="Times New Roman" w:cs="Times New Roman"/>
          <w:color w:val="212121"/>
          <w:sz w:val="24"/>
          <w:szCs w:val="24"/>
          <w:lang w:val="en-US"/>
        </w:rPr>
        <w:t xml:space="preserve"> que</w:t>
      </w:r>
      <w:r w:rsidR="000D6636">
        <w:rPr>
          <w:rFonts w:ascii="Times New Roman" w:eastAsia="Times New Roman" w:hAnsi="Times New Roman" w:cs="Times New Roman"/>
          <w:color w:val="212121"/>
          <w:sz w:val="24"/>
          <w:szCs w:val="24"/>
          <w:lang w:val="en-US"/>
        </w:rPr>
        <w:t xml:space="preserve"> </w:t>
      </w:r>
      <w:r w:rsidR="000D6636" w:rsidRPr="000D6636">
        <w:rPr>
          <w:rFonts w:ascii="Times New Roman" w:eastAsia="Times New Roman" w:hAnsi="Times New Roman" w:cs="Times New Roman"/>
          <w:color w:val="212121"/>
          <w:sz w:val="24"/>
          <w:szCs w:val="24"/>
          <w:lang w:val="en-US"/>
        </w:rPr>
        <w:t>« </w:t>
      </w:r>
      <w:r w:rsidRPr="000D6636">
        <w:rPr>
          <w:rFonts w:ascii="Times New Roman" w:eastAsia="Times New Roman" w:hAnsi="Times New Roman" w:cs="Times New Roman"/>
          <w:color w:val="212121"/>
          <w:sz w:val="24"/>
          <w:szCs w:val="24"/>
          <w:lang w:val="en-US"/>
        </w:rPr>
        <w:t>specific instructional variables either suppress or increase the efficacy of manipulatives</w:t>
      </w:r>
      <w:r w:rsidRPr="000D6636">
        <w:rPr>
          <w:rFonts w:ascii="Times New Roman" w:eastAsia="Times New Roman" w:hAnsi="Times New Roman" w:cs="Times New Roman"/>
          <w:color w:val="212121"/>
          <w:sz w:val="24"/>
          <w:szCs w:val="24"/>
          <w:lang w:val="en-US"/>
        </w:rPr>
        <w:t xml:space="preserve"> suggests that simply incorporating manipulatives into mathematics instruction may not be enough to increase student achievement in mathematics</w:t>
      </w:r>
      <w:r w:rsidR="000D6636" w:rsidRPr="000D6636">
        <w:rPr>
          <w:rFonts w:ascii="Times New Roman" w:eastAsia="Times New Roman" w:hAnsi="Times New Roman" w:cs="Times New Roman"/>
          <w:color w:val="212121"/>
          <w:sz w:val="24"/>
          <w:szCs w:val="24"/>
          <w:lang w:val="en-US"/>
        </w:rPr>
        <w:t> »</w:t>
      </w:r>
      <w:r w:rsidRPr="000D6636">
        <w:rPr>
          <w:rFonts w:ascii="Times New Roman" w:eastAsia="Times New Roman" w:hAnsi="Times New Roman" w:cs="Times New Roman"/>
          <w:color w:val="212121"/>
          <w:sz w:val="24"/>
          <w:szCs w:val="24"/>
          <w:lang w:val="en-US"/>
        </w:rPr>
        <w:t xml:space="preserve"> (p.</w:t>
      </w:r>
      <w:r w:rsidR="000D6636">
        <w:rPr>
          <w:rFonts w:ascii="Times New Roman" w:eastAsia="Times New Roman" w:hAnsi="Times New Roman" w:cs="Times New Roman"/>
          <w:color w:val="212121"/>
          <w:sz w:val="24"/>
          <w:szCs w:val="24"/>
          <w:lang w:val="en-US"/>
        </w:rPr>
        <w:t> </w:t>
      </w:r>
      <w:r w:rsidRPr="000D6636">
        <w:rPr>
          <w:rFonts w:ascii="Times New Roman" w:eastAsia="Times New Roman" w:hAnsi="Times New Roman" w:cs="Times New Roman"/>
          <w:color w:val="212121"/>
          <w:sz w:val="24"/>
          <w:szCs w:val="24"/>
          <w:lang w:val="en-US"/>
        </w:rPr>
        <w:t xml:space="preserve">397). </w:t>
      </w:r>
      <w:r w:rsidRPr="000D6636">
        <w:rPr>
          <w:rFonts w:ascii="Times New Roman" w:eastAsia="Times New Roman" w:hAnsi="Times New Roman" w:cs="Times New Roman"/>
          <w:color w:val="212121"/>
          <w:sz w:val="24"/>
          <w:szCs w:val="24"/>
        </w:rPr>
        <w:t xml:space="preserve">Observer les </w:t>
      </w:r>
      <w:r w:rsidRPr="000D6636">
        <w:rPr>
          <w:rFonts w:ascii="Times New Roman" w:eastAsia="Times New Roman" w:hAnsi="Times New Roman" w:cs="Times New Roman"/>
          <w:color w:val="212121"/>
          <w:sz w:val="24"/>
          <w:szCs w:val="24"/>
        </w:rPr>
        <w:t>affordances</w:t>
      </w:r>
      <w:r w:rsidRPr="000D6636">
        <w:rPr>
          <w:rFonts w:ascii="Times New Roman" w:eastAsia="Times New Roman" w:hAnsi="Times New Roman" w:cs="Times New Roman"/>
          <w:color w:val="212121"/>
          <w:sz w:val="24"/>
          <w:szCs w:val="24"/>
        </w:rPr>
        <w:t xml:space="preserve"> nous a aidés à comprendre que non seulement le cadre pédagogique, mais aussi</w:t>
      </w:r>
      <w:r w:rsidRPr="000D6636">
        <w:rPr>
          <w:rFonts w:ascii="Times New Roman" w:eastAsia="Times New Roman" w:hAnsi="Times New Roman" w:cs="Times New Roman"/>
          <w:color w:val="212121"/>
          <w:sz w:val="24"/>
          <w:szCs w:val="24"/>
        </w:rPr>
        <w:t xml:space="preserve"> la culture de la classe et les expériences des élèves jouent un rôle lorsque nous parlons de l’apprentissage avec le matériel de manipulation. Puisque le matériel de manipulation utilisé pour réaliser cette tâche est par définition un objet physique, le d</w:t>
      </w:r>
      <w:r w:rsidRPr="000D6636">
        <w:rPr>
          <w:rFonts w:ascii="Times New Roman" w:eastAsia="Times New Roman" w:hAnsi="Times New Roman" w:cs="Times New Roman"/>
          <w:color w:val="212121"/>
          <w:sz w:val="24"/>
          <w:szCs w:val="24"/>
        </w:rPr>
        <w:t>énombrement est une action qui ne peut pas en être détachée. Nous avons également observé que les élèves s’appuient surtout sur ce qu’ils sont habitués de faire avec un matériel spécifique plutôt que ce qu’ils sont habitués de faire sans. La question est a</w:t>
      </w:r>
      <w:r w:rsidRPr="000D6636">
        <w:rPr>
          <w:rFonts w:ascii="Times New Roman" w:eastAsia="Times New Roman" w:hAnsi="Times New Roman" w:cs="Times New Roman"/>
          <w:color w:val="212121"/>
          <w:sz w:val="24"/>
          <w:szCs w:val="24"/>
        </w:rPr>
        <w:t xml:space="preserve">lors comment aider les élèves qui s’appuient sur les autres caractéristiques de ces matériels? </w:t>
      </w:r>
      <w:proofErr w:type="spellStart"/>
      <w:r w:rsidRPr="000D6636">
        <w:rPr>
          <w:rFonts w:ascii="Times New Roman" w:eastAsia="Times New Roman" w:hAnsi="Times New Roman" w:cs="Times New Roman"/>
          <w:color w:val="212121"/>
          <w:sz w:val="24"/>
          <w:szCs w:val="24"/>
        </w:rPr>
        <w:t>Drijvers</w:t>
      </w:r>
      <w:proofErr w:type="spellEnd"/>
      <w:r w:rsidRPr="000D6636">
        <w:rPr>
          <w:rFonts w:ascii="Times New Roman" w:eastAsia="Times New Roman" w:hAnsi="Times New Roman" w:cs="Times New Roman"/>
          <w:color w:val="212121"/>
          <w:sz w:val="24"/>
          <w:szCs w:val="24"/>
        </w:rPr>
        <w:t xml:space="preserve"> (2003) </w:t>
      </w:r>
      <w:r w:rsidRPr="000D6636">
        <w:rPr>
          <w:rFonts w:ascii="Times New Roman" w:eastAsia="Times New Roman" w:hAnsi="Times New Roman" w:cs="Times New Roman"/>
          <w:color w:val="212121"/>
          <w:sz w:val="24"/>
          <w:szCs w:val="24"/>
        </w:rPr>
        <w:t>a souligné que l’</w:t>
      </w:r>
      <w:r w:rsidRPr="000D6636">
        <w:rPr>
          <w:rFonts w:ascii="Times New Roman" w:eastAsia="Times New Roman" w:hAnsi="Times New Roman" w:cs="Times New Roman"/>
          <w:color w:val="212121"/>
          <w:sz w:val="24"/>
          <w:szCs w:val="24"/>
        </w:rPr>
        <w:t>affordance</w:t>
      </w:r>
      <w:r w:rsidRPr="000D6636">
        <w:rPr>
          <w:rFonts w:ascii="Times New Roman" w:eastAsia="Times New Roman" w:hAnsi="Times New Roman" w:cs="Times New Roman"/>
          <w:color w:val="212121"/>
          <w:sz w:val="24"/>
          <w:szCs w:val="24"/>
        </w:rPr>
        <w:t xml:space="preserve"> qui pourrait être réalisée dans la classe dépend non seulement de l’outil lui-même, mais aussi de l'exploitation de c</w:t>
      </w:r>
      <w:r w:rsidRPr="000D6636">
        <w:rPr>
          <w:rFonts w:ascii="Times New Roman" w:eastAsia="Times New Roman" w:hAnsi="Times New Roman" w:cs="Times New Roman"/>
          <w:color w:val="212121"/>
          <w:sz w:val="24"/>
          <w:szCs w:val="24"/>
        </w:rPr>
        <w:t xml:space="preserve">es </w:t>
      </w:r>
      <w:r w:rsidRPr="000D6636">
        <w:rPr>
          <w:rFonts w:ascii="Times New Roman" w:eastAsia="Times New Roman" w:hAnsi="Times New Roman" w:cs="Times New Roman"/>
          <w:color w:val="212121"/>
          <w:sz w:val="24"/>
          <w:szCs w:val="24"/>
        </w:rPr>
        <w:t>affordances</w:t>
      </w:r>
      <w:r w:rsidRPr="000D6636">
        <w:rPr>
          <w:rFonts w:ascii="Times New Roman" w:eastAsia="Times New Roman" w:hAnsi="Times New Roman" w:cs="Times New Roman"/>
          <w:color w:val="212121"/>
          <w:sz w:val="24"/>
          <w:szCs w:val="24"/>
        </w:rPr>
        <w:t xml:space="preserve"> qui sont dictées par le contexte éducatif et par l'enseignant. Puisque les blocs de base dix sont souvent utilisés en première et deuxième année quand les élèves ne maîtrisent pas les tables d’addition, le rôle de l’enseignant est ici très i</w:t>
      </w:r>
      <w:r w:rsidRPr="000D6636">
        <w:rPr>
          <w:rFonts w:ascii="Times New Roman" w:eastAsia="Times New Roman" w:hAnsi="Times New Roman" w:cs="Times New Roman"/>
          <w:color w:val="212121"/>
          <w:sz w:val="24"/>
          <w:szCs w:val="24"/>
        </w:rPr>
        <w:t>mportant pour aider les élèves à dépasser le dénombrement et à percevoir le pouvoir d’organiser le matériel pour exploiter l’espace pour “voir” les tables de l’addition et ne pas seulement s'appuyer sur celui-ci pour compter et pour représenter des nombres</w:t>
      </w:r>
      <w:r w:rsidRPr="000D6636">
        <w:rPr>
          <w:rFonts w:ascii="Times New Roman" w:eastAsia="Times New Roman" w:hAnsi="Times New Roman" w:cs="Times New Roman"/>
          <w:color w:val="212121"/>
          <w:sz w:val="24"/>
          <w:szCs w:val="24"/>
        </w:rPr>
        <w:t>. Pour ce faire, les enseignants peuvent exploiter l'</w:t>
      </w:r>
      <w:r w:rsidRPr="000D6636">
        <w:rPr>
          <w:rFonts w:ascii="Times New Roman" w:eastAsia="Times New Roman" w:hAnsi="Times New Roman" w:cs="Times New Roman"/>
          <w:color w:val="212121"/>
          <w:sz w:val="24"/>
          <w:szCs w:val="24"/>
        </w:rPr>
        <w:t xml:space="preserve">affordance </w:t>
      </w:r>
      <w:r w:rsidRPr="000D6636">
        <w:rPr>
          <w:rFonts w:ascii="Times New Roman" w:eastAsia="Times New Roman" w:hAnsi="Times New Roman" w:cs="Times New Roman"/>
          <w:color w:val="212121"/>
          <w:sz w:val="24"/>
          <w:szCs w:val="24"/>
        </w:rPr>
        <w:t>du matériel pour proposer davantage et de meilleures opportunités d’apprendre aux élèves.</w:t>
      </w:r>
    </w:p>
    <w:p w14:paraId="34582B87" w14:textId="77777777" w:rsidR="00F5516B" w:rsidRDefault="008A513B">
      <w:pPr>
        <w:jc w:val="both"/>
        <w:rPr>
          <w:rFonts w:ascii="Times New Roman" w:eastAsia="Times New Roman" w:hAnsi="Times New Roman" w:cs="Times New Roman"/>
          <w:b/>
          <w:color w:val="212121"/>
          <w:sz w:val="24"/>
          <w:szCs w:val="24"/>
        </w:rPr>
      </w:pPr>
      <w:bookmarkStart w:id="38" w:name="_saqjttcw3ek7" w:colFirst="0" w:colLast="0"/>
      <w:bookmarkEnd w:id="38"/>
      <w:r w:rsidRPr="000D6636">
        <w:rPr>
          <w:rFonts w:ascii="Times New Roman" w:eastAsia="Times New Roman" w:hAnsi="Times New Roman" w:cs="Times New Roman"/>
          <w:b/>
          <w:color w:val="212121"/>
          <w:sz w:val="24"/>
          <w:szCs w:val="24"/>
        </w:rPr>
        <w:t>Remerciements</w:t>
      </w:r>
    </w:p>
    <w:p w14:paraId="34582B88" w14:textId="77777777" w:rsidR="00F5516B" w:rsidRDefault="008A513B">
      <w:pPr>
        <w:jc w:val="both"/>
        <w:rPr>
          <w:rFonts w:ascii="Times New Roman" w:eastAsia="Times New Roman" w:hAnsi="Times New Roman" w:cs="Times New Roman"/>
          <w:color w:val="333333"/>
          <w:sz w:val="24"/>
          <w:szCs w:val="24"/>
        </w:rPr>
      </w:pPr>
      <w:bookmarkStart w:id="39" w:name="_w8ha2m1r15ap" w:colFirst="0" w:colLast="0"/>
      <w:bookmarkEnd w:id="39"/>
      <w:r>
        <w:rPr>
          <w:rFonts w:ascii="Times New Roman" w:eastAsia="Times New Roman" w:hAnsi="Times New Roman" w:cs="Times New Roman"/>
          <w:color w:val="212121"/>
          <w:sz w:val="24"/>
          <w:szCs w:val="24"/>
        </w:rPr>
        <w:t xml:space="preserve">Le projet </w:t>
      </w:r>
      <w:proofErr w:type="spellStart"/>
      <w:r>
        <w:rPr>
          <w:rFonts w:ascii="Times New Roman" w:eastAsia="Times New Roman" w:hAnsi="Times New Roman" w:cs="Times New Roman"/>
          <w:i/>
          <w:color w:val="212121"/>
          <w:sz w:val="24"/>
          <w:szCs w:val="24"/>
        </w:rPr>
        <w:t>MathéRéaliser</w:t>
      </w:r>
      <w:proofErr w:type="spellEnd"/>
      <w:r>
        <w:rPr>
          <w:rFonts w:ascii="Times New Roman" w:eastAsia="Times New Roman" w:hAnsi="Times New Roman" w:cs="Times New Roman"/>
          <w:color w:val="212121"/>
          <w:sz w:val="24"/>
          <w:szCs w:val="24"/>
        </w:rPr>
        <w:t xml:space="preserve"> est financé par le </w:t>
      </w:r>
      <w:r>
        <w:rPr>
          <w:rFonts w:ascii="Times New Roman" w:eastAsia="Times New Roman" w:hAnsi="Times New Roman" w:cs="Times New Roman"/>
          <w:color w:val="333333"/>
          <w:sz w:val="24"/>
          <w:szCs w:val="24"/>
        </w:rPr>
        <w:t xml:space="preserve">Conseil canadien de recherches en sciences humaines. </w:t>
      </w:r>
    </w:p>
    <w:p w14:paraId="19A26ACF" w14:textId="77777777" w:rsidR="00115942" w:rsidRPr="00115942" w:rsidRDefault="00115942" w:rsidP="00115942">
      <w:pPr>
        <w:jc w:val="both"/>
        <w:rPr>
          <w:rFonts w:ascii="Times New Roman" w:eastAsia="Times New Roman" w:hAnsi="Times New Roman" w:cs="Times New Roman"/>
          <w:color w:val="212121"/>
          <w:sz w:val="24"/>
          <w:szCs w:val="24"/>
          <w:highlight w:val="white"/>
          <w:lang w:val="en-US"/>
        </w:rPr>
      </w:pPr>
      <w:r w:rsidRPr="00115942">
        <w:rPr>
          <w:rFonts w:ascii="Times New Roman" w:eastAsia="Times New Roman" w:hAnsi="Times New Roman" w:cs="Times New Roman"/>
          <w:b/>
          <w:color w:val="212121"/>
          <w:sz w:val="24"/>
          <w:szCs w:val="24"/>
          <w:highlight w:val="white"/>
          <w:lang w:val="en-US"/>
        </w:rPr>
        <w:t>References</w:t>
      </w:r>
    </w:p>
    <w:p w14:paraId="06E83CDA" w14:textId="77777777" w:rsidR="00115942" w:rsidRPr="00115942" w:rsidRDefault="00115942" w:rsidP="00115942">
      <w:pPr>
        <w:jc w:val="both"/>
        <w:rPr>
          <w:rFonts w:ascii="Times New Roman" w:eastAsia="Times New Roman" w:hAnsi="Times New Roman" w:cs="Times New Roman"/>
          <w:bCs/>
          <w:color w:val="212121"/>
          <w:sz w:val="24"/>
          <w:szCs w:val="24"/>
          <w:highlight w:val="white"/>
          <w:lang w:val="en-CA"/>
        </w:rPr>
      </w:pPr>
      <w:r w:rsidRPr="00115942">
        <w:rPr>
          <w:rFonts w:ascii="Times New Roman" w:eastAsia="Times New Roman" w:hAnsi="Times New Roman" w:cs="Times New Roman"/>
          <w:bCs/>
          <w:color w:val="212121"/>
          <w:sz w:val="24"/>
          <w:szCs w:val="24"/>
          <w:highlight w:val="white"/>
          <w:lang w:val="en-CA"/>
        </w:rPr>
        <w:t xml:space="preserve">Ball, D. (1992). Magical Hopes: Manipulatives and the reform of math education. </w:t>
      </w:r>
      <w:r w:rsidRPr="00115942">
        <w:rPr>
          <w:rFonts w:ascii="Times New Roman" w:eastAsia="Times New Roman" w:hAnsi="Times New Roman" w:cs="Times New Roman"/>
          <w:bCs/>
          <w:i/>
          <w:color w:val="212121"/>
          <w:sz w:val="24"/>
          <w:szCs w:val="24"/>
          <w:highlight w:val="white"/>
          <w:lang w:val="en-CA"/>
        </w:rPr>
        <w:t>American Education.</w:t>
      </w:r>
      <w:r w:rsidRPr="00115942">
        <w:rPr>
          <w:rFonts w:ascii="Times New Roman" w:eastAsia="Times New Roman" w:hAnsi="Times New Roman" w:cs="Times New Roman"/>
          <w:bCs/>
          <w:color w:val="212121"/>
          <w:sz w:val="24"/>
          <w:szCs w:val="24"/>
          <w:highlight w:val="white"/>
          <w:lang w:val="en-CA"/>
        </w:rPr>
        <w:t xml:space="preserve"> 16(2). </w:t>
      </w:r>
    </w:p>
    <w:p w14:paraId="16732CC6" w14:textId="77777777" w:rsidR="00115942" w:rsidRPr="00115942" w:rsidRDefault="00115942" w:rsidP="00115942">
      <w:pPr>
        <w:jc w:val="both"/>
        <w:rPr>
          <w:rFonts w:ascii="Times New Roman" w:eastAsia="Times New Roman" w:hAnsi="Times New Roman" w:cs="Times New Roman"/>
          <w:color w:val="212121"/>
          <w:sz w:val="24"/>
          <w:szCs w:val="24"/>
          <w:highlight w:val="white"/>
          <w:lang w:val="en-CA"/>
        </w:rPr>
      </w:pPr>
      <w:proofErr w:type="spellStart"/>
      <w:r w:rsidRPr="00115942">
        <w:rPr>
          <w:rFonts w:ascii="Times New Roman" w:eastAsia="Times New Roman" w:hAnsi="Times New Roman" w:cs="Times New Roman"/>
          <w:color w:val="212121"/>
          <w:sz w:val="24"/>
          <w:szCs w:val="24"/>
          <w:highlight w:val="white"/>
          <w:lang w:val="en-CA"/>
        </w:rPr>
        <w:t>Bednarz</w:t>
      </w:r>
      <w:proofErr w:type="spellEnd"/>
      <w:r w:rsidRPr="00115942">
        <w:rPr>
          <w:rFonts w:ascii="Times New Roman" w:eastAsia="Times New Roman" w:hAnsi="Times New Roman" w:cs="Times New Roman"/>
          <w:color w:val="212121"/>
          <w:sz w:val="24"/>
          <w:szCs w:val="24"/>
          <w:highlight w:val="white"/>
          <w:lang w:val="en-CA"/>
        </w:rPr>
        <w:t xml:space="preserve">, N., &amp; Janvier, J. (1982). The understanding of numeration in primary School, </w:t>
      </w:r>
      <w:r w:rsidRPr="00115942">
        <w:rPr>
          <w:rFonts w:ascii="Times New Roman" w:eastAsia="Times New Roman" w:hAnsi="Times New Roman" w:cs="Times New Roman"/>
          <w:i/>
          <w:color w:val="212121"/>
          <w:sz w:val="24"/>
          <w:szCs w:val="24"/>
          <w:highlight w:val="white"/>
          <w:lang w:val="en-CA"/>
        </w:rPr>
        <w:t>Educational Studies in Mathematics,</w:t>
      </w:r>
      <w:r w:rsidRPr="00115942">
        <w:rPr>
          <w:rFonts w:ascii="Times New Roman" w:eastAsia="Times New Roman" w:hAnsi="Times New Roman" w:cs="Times New Roman"/>
          <w:color w:val="212121"/>
          <w:sz w:val="24"/>
          <w:szCs w:val="24"/>
          <w:highlight w:val="white"/>
          <w:lang w:val="en-CA"/>
        </w:rPr>
        <w:t xml:space="preserve"> </w:t>
      </w:r>
      <w:r w:rsidRPr="00115942">
        <w:rPr>
          <w:rFonts w:ascii="Times New Roman" w:eastAsia="Times New Roman" w:hAnsi="Times New Roman" w:cs="Times New Roman"/>
          <w:i/>
          <w:iCs/>
          <w:color w:val="212121"/>
          <w:sz w:val="24"/>
          <w:szCs w:val="24"/>
          <w:highlight w:val="white"/>
          <w:lang w:val="en-CA"/>
        </w:rPr>
        <w:t>13</w:t>
      </w:r>
      <w:r w:rsidRPr="00115942">
        <w:rPr>
          <w:rFonts w:ascii="Times New Roman" w:eastAsia="Times New Roman" w:hAnsi="Times New Roman" w:cs="Times New Roman"/>
          <w:color w:val="212121"/>
          <w:sz w:val="24"/>
          <w:szCs w:val="24"/>
          <w:highlight w:val="white"/>
          <w:lang w:val="en-CA"/>
        </w:rPr>
        <w:t>, 33–57.</w:t>
      </w:r>
    </w:p>
    <w:p w14:paraId="5B895689" w14:textId="77777777" w:rsidR="00115942" w:rsidRPr="00115942" w:rsidRDefault="00115942" w:rsidP="00115942">
      <w:pPr>
        <w:jc w:val="both"/>
        <w:rPr>
          <w:rFonts w:ascii="Times New Roman" w:eastAsia="Times New Roman" w:hAnsi="Times New Roman" w:cs="Times New Roman"/>
          <w:color w:val="212121"/>
          <w:sz w:val="24"/>
          <w:szCs w:val="24"/>
          <w:highlight w:val="white"/>
          <w:lang w:val="en-CA"/>
        </w:rPr>
      </w:pPr>
      <w:r w:rsidRPr="00115942">
        <w:rPr>
          <w:rFonts w:ascii="Times New Roman" w:eastAsia="Times New Roman" w:hAnsi="Times New Roman" w:cs="Times New Roman"/>
          <w:color w:val="212121"/>
          <w:sz w:val="24"/>
          <w:szCs w:val="24"/>
          <w:highlight w:val="white"/>
          <w:lang w:val="en-CA"/>
        </w:rPr>
        <w:t xml:space="preserve">Brown, J., Stillman, G., &amp; Herbert, S. (2004). Can the notion of affordances be of use in the design of a technology enriched mathematics </w:t>
      </w:r>
      <w:proofErr w:type="gramStart"/>
      <w:r w:rsidRPr="00115942">
        <w:rPr>
          <w:rFonts w:ascii="Times New Roman" w:eastAsia="Times New Roman" w:hAnsi="Times New Roman" w:cs="Times New Roman"/>
          <w:color w:val="212121"/>
          <w:sz w:val="24"/>
          <w:szCs w:val="24"/>
          <w:highlight w:val="white"/>
          <w:lang w:val="en-CA"/>
        </w:rPr>
        <w:t>curriculum.</w:t>
      </w:r>
      <w:proofErr w:type="gramEnd"/>
      <w:r w:rsidRPr="00115942">
        <w:rPr>
          <w:rFonts w:ascii="Times New Roman" w:eastAsia="Times New Roman" w:hAnsi="Times New Roman" w:cs="Times New Roman"/>
          <w:color w:val="212121"/>
          <w:sz w:val="24"/>
          <w:szCs w:val="24"/>
          <w:highlight w:val="white"/>
          <w:lang w:val="en-CA"/>
        </w:rPr>
        <w:t xml:space="preserve"> In I. Putt, R. Faragher, &amp; M. McLean (Eds.), </w:t>
      </w:r>
      <w:r w:rsidRPr="00115942">
        <w:rPr>
          <w:rFonts w:ascii="Times New Roman" w:eastAsia="Times New Roman" w:hAnsi="Times New Roman" w:cs="Times New Roman"/>
          <w:i/>
          <w:color w:val="212121"/>
          <w:sz w:val="24"/>
          <w:szCs w:val="24"/>
          <w:highlight w:val="white"/>
          <w:lang w:val="en-CA"/>
        </w:rPr>
        <w:t xml:space="preserve">Proceedings of the 27th Annual Conference of the Mathematics Education Research Group of Australasia </w:t>
      </w:r>
      <w:r w:rsidRPr="00115942">
        <w:rPr>
          <w:rFonts w:ascii="Times New Roman" w:eastAsia="Times New Roman" w:hAnsi="Times New Roman" w:cs="Times New Roman"/>
          <w:iCs/>
          <w:color w:val="212121"/>
          <w:sz w:val="24"/>
          <w:szCs w:val="24"/>
          <w:highlight w:val="white"/>
          <w:lang w:val="en-CA"/>
        </w:rPr>
        <w:t>(pp.</w:t>
      </w:r>
      <w:r w:rsidRPr="00115942">
        <w:rPr>
          <w:rFonts w:ascii="Times New Roman" w:eastAsia="Times New Roman" w:hAnsi="Times New Roman" w:cs="Times New Roman"/>
          <w:i/>
          <w:color w:val="212121"/>
          <w:sz w:val="24"/>
          <w:szCs w:val="24"/>
          <w:highlight w:val="white"/>
          <w:lang w:val="en-CA"/>
        </w:rPr>
        <w:t xml:space="preserve"> </w:t>
      </w:r>
      <w:r w:rsidRPr="00115942">
        <w:rPr>
          <w:rFonts w:ascii="Times New Roman" w:eastAsia="Times New Roman" w:hAnsi="Times New Roman" w:cs="Times New Roman"/>
          <w:color w:val="212121"/>
          <w:sz w:val="24"/>
          <w:szCs w:val="24"/>
          <w:highlight w:val="white"/>
          <w:lang w:val="en-CA"/>
        </w:rPr>
        <w:t>119–126)</w:t>
      </w:r>
      <w:r w:rsidRPr="00115942">
        <w:rPr>
          <w:rFonts w:ascii="Times New Roman" w:eastAsia="Times New Roman" w:hAnsi="Times New Roman" w:cs="Times New Roman"/>
          <w:i/>
          <w:color w:val="212121"/>
          <w:sz w:val="24"/>
          <w:szCs w:val="24"/>
          <w:highlight w:val="white"/>
          <w:lang w:val="en-CA"/>
        </w:rPr>
        <w:t xml:space="preserve">. </w:t>
      </w:r>
      <w:r w:rsidRPr="00115942">
        <w:rPr>
          <w:rFonts w:ascii="Times New Roman" w:eastAsia="Times New Roman" w:hAnsi="Times New Roman" w:cs="Times New Roman"/>
          <w:iCs/>
          <w:color w:val="212121"/>
          <w:sz w:val="24"/>
          <w:szCs w:val="24"/>
          <w:highlight w:val="white"/>
          <w:lang w:val="en-CA"/>
        </w:rPr>
        <w:t>Sydney, Australia:</w:t>
      </w:r>
      <w:r w:rsidRPr="00115942">
        <w:rPr>
          <w:rFonts w:ascii="Times New Roman" w:eastAsia="Times New Roman" w:hAnsi="Times New Roman" w:cs="Times New Roman"/>
          <w:color w:val="212121"/>
          <w:sz w:val="24"/>
          <w:szCs w:val="24"/>
          <w:highlight w:val="white"/>
          <w:lang w:val="en-CA"/>
        </w:rPr>
        <w:t xml:space="preserve"> MERGA.</w:t>
      </w:r>
    </w:p>
    <w:p w14:paraId="3EC99EDC" w14:textId="77777777" w:rsidR="00115942" w:rsidRPr="00115942" w:rsidRDefault="00115942" w:rsidP="00115942">
      <w:pPr>
        <w:jc w:val="both"/>
        <w:rPr>
          <w:rFonts w:ascii="Times New Roman" w:eastAsia="Times New Roman" w:hAnsi="Times New Roman" w:cs="Times New Roman"/>
          <w:color w:val="212121"/>
          <w:sz w:val="24"/>
          <w:szCs w:val="24"/>
          <w:highlight w:val="white"/>
          <w:lang w:val="en-US"/>
        </w:rPr>
      </w:pPr>
      <w:r w:rsidRPr="00115942">
        <w:rPr>
          <w:rFonts w:ascii="Times New Roman" w:eastAsia="Times New Roman" w:hAnsi="Times New Roman" w:cs="Times New Roman"/>
          <w:color w:val="212121"/>
          <w:sz w:val="24"/>
          <w:szCs w:val="24"/>
          <w:highlight w:val="white"/>
          <w:lang w:val="en-US"/>
        </w:rPr>
        <w:t xml:space="preserve">Bruner, J. S. (1977). Process orientation. In D. B. </w:t>
      </w:r>
      <w:proofErr w:type="spellStart"/>
      <w:r w:rsidRPr="00115942">
        <w:rPr>
          <w:rFonts w:ascii="Times New Roman" w:eastAsia="Times New Roman" w:hAnsi="Times New Roman" w:cs="Times New Roman"/>
          <w:color w:val="212121"/>
          <w:sz w:val="24"/>
          <w:szCs w:val="24"/>
          <w:highlight w:val="white"/>
          <w:lang w:val="en-US"/>
        </w:rPr>
        <w:t>Aichele</w:t>
      </w:r>
      <w:proofErr w:type="spellEnd"/>
      <w:r w:rsidRPr="00115942">
        <w:rPr>
          <w:rFonts w:ascii="Times New Roman" w:eastAsia="Times New Roman" w:hAnsi="Times New Roman" w:cs="Times New Roman"/>
          <w:color w:val="212121"/>
          <w:sz w:val="24"/>
          <w:szCs w:val="24"/>
          <w:highlight w:val="white"/>
          <w:lang w:val="en-US"/>
        </w:rPr>
        <w:t xml:space="preserve">, &amp; R. E. </w:t>
      </w:r>
      <w:proofErr w:type="spellStart"/>
      <w:r w:rsidRPr="00115942">
        <w:rPr>
          <w:rFonts w:ascii="Times New Roman" w:eastAsia="Times New Roman" w:hAnsi="Times New Roman" w:cs="Times New Roman"/>
          <w:color w:val="212121"/>
          <w:sz w:val="24"/>
          <w:szCs w:val="24"/>
          <w:highlight w:val="white"/>
          <w:lang w:val="en-US"/>
        </w:rPr>
        <w:t>Reys</w:t>
      </w:r>
      <w:proofErr w:type="spellEnd"/>
      <w:r w:rsidRPr="00115942">
        <w:rPr>
          <w:rFonts w:ascii="Times New Roman" w:eastAsia="Times New Roman" w:hAnsi="Times New Roman" w:cs="Times New Roman"/>
          <w:color w:val="212121"/>
          <w:sz w:val="24"/>
          <w:szCs w:val="24"/>
          <w:highlight w:val="white"/>
          <w:lang w:val="en-US"/>
        </w:rPr>
        <w:t xml:space="preserve"> (Eds.). </w:t>
      </w:r>
      <w:r w:rsidRPr="00115942">
        <w:rPr>
          <w:rFonts w:ascii="Times New Roman" w:eastAsia="Times New Roman" w:hAnsi="Times New Roman" w:cs="Times New Roman"/>
          <w:i/>
          <w:color w:val="212121"/>
          <w:sz w:val="24"/>
          <w:szCs w:val="24"/>
          <w:highlight w:val="white"/>
          <w:lang w:val="en-US"/>
        </w:rPr>
        <w:t>Readings in Secondary School Mathematics</w:t>
      </w:r>
      <w:r w:rsidRPr="00115942">
        <w:rPr>
          <w:rFonts w:ascii="Times New Roman" w:eastAsia="Times New Roman" w:hAnsi="Times New Roman" w:cs="Times New Roman"/>
          <w:color w:val="212121"/>
          <w:sz w:val="24"/>
          <w:szCs w:val="24"/>
          <w:highlight w:val="white"/>
          <w:lang w:val="en-US"/>
        </w:rPr>
        <w:t xml:space="preserve"> (2nd ed.). Boston, MA: Prindle, Weber, &amp; Schmidt. </w:t>
      </w:r>
    </w:p>
    <w:p w14:paraId="57E036A3" w14:textId="77777777" w:rsidR="00115942" w:rsidRPr="00115942" w:rsidRDefault="00115942" w:rsidP="00115942">
      <w:pPr>
        <w:jc w:val="both"/>
        <w:rPr>
          <w:rFonts w:ascii="Times New Roman" w:eastAsia="Times New Roman" w:hAnsi="Times New Roman" w:cs="Times New Roman"/>
          <w:color w:val="212121"/>
          <w:sz w:val="24"/>
          <w:szCs w:val="24"/>
          <w:highlight w:val="white"/>
          <w:lang w:val="en-US"/>
        </w:rPr>
      </w:pPr>
      <w:r w:rsidRPr="00115942">
        <w:rPr>
          <w:rFonts w:ascii="Times New Roman" w:eastAsia="Times New Roman" w:hAnsi="Times New Roman" w:cs="Times New Roman"/>
          <w:color w:val="212121"/>
          <w:sz w:val="24"/>
          <w:szCs w:val="24"/>
          <w:highlight w:val="white"/>
        </w:rPr>
        <w:lastRenderedPageBreak/>
        <w:t xml:space="preserve">Carbonneau, K. J., Marley, S. C., &amp; </w:t>
      </w:r>
      <w:proofErr w:type="spellStart"/>
      <w:r w:rsidRPr="00115942">
        <w:rPr>
          <w:rFonts w:ascii="Times New Roman" w:eastAsia="Times New Roman" w:hAnsi="Times New Roman" w:cs="Times New Roman"/>
          <w:color w:val="212121"/>
          <w:sz w:val="24"/>
          <w:szCs w:val="24"/>
          <w:highlight w:val="white"/>
        </w:rPr>
        <w:t>Selig</w:t>
      </w:r>
      <w:proofErr w:type="spellEnd"/>
      <w:r w:rsidRPr="00115942">
        <w:rPr>
          <w:rFonts w:ascii="Times New Roman" w:eastAsia="Times New Roman" w:hAnsi="Times New Roman" w:cs="Times New Roman"/>
          <w:color w:val="212121"/>
          <w:sz w:val="24"/>
          <w:szCs w:val="24"/>
          <w:highlight w:val="white"/>
        </w:rPr>
        <w:t xml:space="preserve">, J. P. (2013). </w:t>
      </w:r>
      <w:r w:rsidRPr="00115942">
        <w:rPr>
          <w:rFonts w:ascii="Times New Roman" w:eastAsia="Times New Roman" w:hAnsi="Times New Roman" w:cs="Times New Roman"/>
          <w:color w:val="212121"/>
          <w:sz w:val="24"/>
          <w:szCs w:val="24"/>
          <w:highlight w:val="white"/>
          <w:lang w:val="en-US"/>
        </w:rPr>
        <w:t xml:space="preserve">A meta-analysis of the efficacy of teaching mathematics with concrete manipulatives. </w:t>
      </w:r>
      <w:r w:rsidRPr="00115942">
        <w:rPr>
          <w:rFonts w:ascii="Times New Roman" w:eastAsia="Times New Roman" w:hAnsi="Times New Roman" w:cs="Times New Roman"/>
          <w:i/>
          <w:color w:val="212121"/>
          <w:sz w:val="24"/>
          <w:szCs w:val="24"/>
          <w:highlight w:val="white"/>
          <w:lang w:val="en-US"/>
        </w:rPr>
        <w:t>Journal of Educational Psychology</w:t>
      </w:r>
      <w:r w:rsidRPr="00115942">
        <w:rPr>
          <w:rFonts w:ascii="Times New Roman" w:eastAsia="Times New Roman" w:hAnsi="Times New Roman" w:cs="Times New Roman"/>
          <w:color w:val="212121"/>
          <w:sz w:val="24"/>
          <w:szCs w:val="24"/>
          <w:highlight w:val="white"/>
          <w:lang w:val="en-US"/>
        </w:rPr>
        <w:t xml:space="preserve">, </w:t>
      </w:r>
      <w:r w:rsidRPr="00115942">
        <w:rPr>
          <w:rFonts w:ascii="Times New Roman" w:eastAsia="Times New Roman" w:hAnsi="Times New Roman" w:cs="Times New Roman"/>
          <w:i/>
          <w:color w:val="212121"/>
          <w:sz w:val="24"/>
          <w:szCs w:val="24"/>
          <w:highlight w:val="white"/>
          <w:lang w:val="en-US"/>
        </w:rPr>
        <w:t>105</w:t>
      </w:r>
      <w:r w:rsidRPr="00115942">
        <w:rPr>
          <w:rFonts w:ascii="Times New Roman" w:eastAsia="Times New Roman" w:hAnsi="Times New Roman" w:cs="Times New Roman"/>
          <w:color w:val="212121"/>
          <w:sz w:val="24"/>
          <w:szCs w:val="24"/>
          <w:highlight w:val="white"/>
          <w:lang w:val="en-US"/>
        </w:rPr>
        <w:t>, 380–400.</w:t>
      </w:r>
    </w:p>
    <w:p w14:paraId="4F9CE773" w14:textId="77777777" w:rsidR="00115942" w:rsidRPr="00115942" w:rsidRDefault="00115942" w:rsidP="00115942">
      <w:pPr>
        <w:jc w:val="both"/>
        <w:rPr>
          <w:rFonts w:ascii="Times New Roman" w:eastAsia="Times New Roman" w:hAnsi="Times New Roman" w:cs="Times New Roman"/>
          <w:color w:val="212121"/>
          <w:sz w:val="24"/>
          <w:szCs w:val="24"/>
          <w:highlight w:val="white"/>
        </w:rPr>
      </w:pPr>
      <w:r w:rsidRPr="00115942">
        <w:rPr>
          <w:rFonts w:ascii="Times New Roman" w:eastAsia="Times New Roman" w:hAnsi="Times New Roman" w:cs="Times New Roman"/>
          <w:color w:val="212121"/>
          <w:sz w:val="24"/>
          <w:szCs w:val="24"/>
          <w:highlight w:val="white"/>
          <w:lang w:val="en-US"/>
        </w:rPr>
        <w:t xml:space="preserve">Clot, Y., &amp; </w:t>
      </w:r>
      <w:proofErr w:type="spellStart"/>
      <w:r w:rsidRPr="00115942">
        <w:rPr>
          <w:rFonts w:ascii="Times New Roman" w:eastAsia="Times New Roman" w:hAnsi="Times New Roman" w:cs="Times New Roman"/>
          <w:color w:val="212121"/>
          <w:sz w:val="24"/>
          <w:szCs w:val="24"/>
          <w:highlight w:val="white"/>
          <w:lang w:val="en-US"/>
        </w:rPr>
        <w:t>Béguin</w:t>
      </w:r>
      <w:proofErr w:type="spellEnd"/>
      <w:r w:rsidRPr="00115942">
        <w:rPr>
          <w:rFonts w:ascii="Times New Roman" w:eastAsia="Times New Roman" w:hAnsi="Times New Roman" w:cs="Times New Roman"/>
          <w:color w:val="212121"/>
          <w:sz w:val="24"/>
          <w:szCs w:val="24"/>
          <w:highlight w:val="white"/>
          <w:lang w:val="en-US"/>
        </w:rPr>
        <w:t xml:space="preserve">, P. (2004). Situated action in the development of activity. </w:t>
      </w:r>
      <w:r w:rsidRPr="00115942">
        <w:rPr>
          <w:rFonts w:ascii="Times New Roman" w:eastAsia="Times New Roman" w:hAnsi="Times New Roman" w:cs="Times New Roman"/>
          <w:i/>
          <w:color w:val="212121"/>
          <w:sz w:val="24"/>
          <w:szCs w:val="24"/>
          <w:highlight w:val="white"/>
        </w:rPr>
        <w:t>Activités</w:t>
      </w:r>
      <w:r w:rsidRPr="00115942">
        <w:rPr>
          <w:rFonts w:ascii="Times New Roman" w:eastAsia="Times New Roman" w:hAnsi="Times New Roman" w:cs="Times New Roman"/>
          <w:color w:val="212121"/>
          <w:sz w:val="24"/>
          <w:szCs w:val="24"/>
          <w:highlight w:val="white"/>
        </w:rPr>
        <w:t xml:space="preserve">, </w:t>
      </w:r>
      <w:r w:rsidRPr="00115942">
        <w:rPr>
          <w:rFonts w:ascii="Times New Roman" w:eastAsia="Times New Roman" w:hAnsi="Times New Roman" w:cs="Times New Roman"/>
          <w:i/>
          <w:color w:val="212121"/>
          <w:sz w:val="24"/>
          <w:szCs w:val="24"/>
          <w:highlight w:val="white"/>
        </w:rPr>
        <w:t>1</w:t>
      </w:r>
      <w:r w:rsidRPr="00115942">
        <w:rPr>
          <w:rFonts w:ascii="Times New Roman" w:eastAsia="Times New Roman" w:hAnsi="Times New Roman" w:cs="Times New Roman"/>
          <w:color w:val="212121"/>
          <w:sz w:val="24"/>
          <w:szCs w:val="24"/>
          <w:highlight w:val="white"/>
        </w:rPr>
        <w:t xml:space="preserve">(1–2). </w:t>
      </w:r>
    </w:p>
    <w:p w14:paraId="5168179E" w14:textId="77777777" w:rsidR="00115942" w:rsidRPr="00115942" w:rsidRDefault="00115942" w:rsidP="00115942">
      <w:pPr>
        <w:jc w:val="both"/>
        <w:rPr>
          <w:rFonts w:ascii="Times New Roman" w:eastAsia="Times New Roman" w:hAnsi="Times New Roman" w:cs="Times New Roman"/>
          <w:color w:val="212121"/>
          <w:sz w:val="24"/>
          <w:szCs w:val="24"/>
          <w:highlight w:val="white"/>
        </w:rPr>
      </w:pPr>
      <w:r w:rsidRPr="00115942">
        <w:rPr>
          <w:rFonts w:ascii="Times New Roman" w:eastAsia="Times New Roman" w:hAnsi="Times New Roman" w:cs="Times New Roman"/>
          <w:color w:val="212121"/>
          <w:sz w:val="24"/>
          <w:szCs w:val="24"/>
          <w:highlight w:val="white"/>
        </w:rPr>
        <w:t xml:space="preserve">Cobb, P., </w:t>
      </w:r>
      <w:proofErr w:type="spellStart"/>
      <w:r w:rsidRPr="00115942">
        <w:rPr>
          <w:rFonts w:ascii="Times New Roman" w:eastAsia="Times New Roman" w:hAnsi="Times New Roman" w:cs="Times New Roman"/>
          <w:color w:val="212121"/>
          <w:sz w:val="24"/>
          <w:szCs w:val="24"/>
          <w:highlight w:val="white"/>
        </w:rPr>
        <w:t>Perlwitz</w:t>
      </w:r>
      <w:proofErr w:type="spellEnd"/>
      <w:r w:rsidRPr="00115942">
        <w:rPr>
          <w:rFonts w:ascii="Times New Roman" w:eastAsia="Times New Roman" w:hAnsi="Times New Roman" w:cs="Times New Roman"/>
          <w:color w:val="212121"/>
          <w:sz w:val="24"/>
          <w:szCs w:val="24"/>
          <w:highlight w:val="white"/>
        </w:rPr>
        <w:t xml:space="preserve">, M. &amp; </w:t>
      </w:r>
      <w:proofErr w:type="spellStart"/>
      <w:r w:rsidRPr="00115942">
        <w:rPr>
          <w:rFonts w:ascii="Times New Roman" w:eastAsia="Times New Roman" w:hAnsi="Times New Roman" w:cs="Times New Roman"/>
          <w:color w:val="212121"/>
          <w:sz w:val="24"/>
          <w:szCs w:val="24"/>
          <w:highlight w:val="white"/>
        </w:rPr>
        <w:t>Underwood</w:t>
      </w:r>
      <w:proofErr w:type="spellEnd"/>
      <w:r w:rsidRPr="00115942">
        <w:rPr>
          <w:rFonts w:ascii="Times New Roman" w:eastAsia="Times New Roman" w:hAnsi="Times New Roman" w:cs="Times New Roman"/>
          <w:color w:val="212121"/>
          <w:sz w:val="24"/>
          <w:szCs w:val="24"/>
          <w:highlight w:val="white"/>
        </w:rPr>
        <w:t xml:space="preserve">, D. (1994). Construction individuelle, acculturation mathématique et communauté scolaire. </w:t>
      </w:r>
      <w:r w:rsidRPr="00115942">
        <w:rPr>
          <w:rFonts w:ascii="Times New Roman" w:eastAsia="Times New Roman" w:hAnsi="Times New Roman" w:cs="Times New Roman"/>
          <w:i/>
          <w:color w:val="212121"/>
          <w:sz w:val="24"/>
          <w:szCs w:val="24"/>
          <w:highlight w:val="white"/>
        </w:rPr>
        <w:t>Revue des sciences de l’éducation</w:t>
      </w:r>
      <w:r w:rsidRPr="00115942">
        <w:rPr>
          <w:rFonts w:ascii="Times New Roman" w:eastAsia="Times New Roman" w:hAnsi="Times New Roman" w:cs="Times New Roman"/>
          <w:color w:val="212121"/>
          <w:sz w:val="24"/>
          <w:szCs w:val="24"/>
          <w:highlight w:val="white"/>
        </w:rPr>
        <w:t xml:space="preserve">, </w:t>
      </w:r>
      <w:proofErr w:type="gramStart"/>
      <w:r w:rsidRPr="00115942">
        <w:rPr>
          <w:rFonts w:ascii="Times New Roman" w:eastAsia="Times New Roman" w:hAnsi="Times New Roman" w:cs="Times New Roman"/>
          <w:i/>
          <w:color w:val="212121"/>
          <w:sz w:val="24"/>
          <w:szCs w:val="24"/>
          <w:highlight w:val="white"/>
        </w:rPr>
        <w:t>XX</w:t>
      </w:r>
      <w:r w:rsidRPr="00115942">
        <w:rPr>
          <w:rFonts w:ascii="Times New Roman" w:eastAsia="Times New Roman" w:hAnsi="Times New Roman" w:cs="Times New Roman"/>
          <w:color w:val="212121"/>
          <w:sz w:val="24"/>
          <w:szCs w:val="24"/>
          <w:highlight w:val="white"/>
        </w:rPr>
        <w:t>(</w:t>
      </w:r>
      <w:proofErr w:type="gramEnd"/>
      <w:r w:rsidRPr="00115942">
        <w:rPr>
          <w:rFonts w:ascii="Times New Roman" w:eastAsia="Times New Roman" w:hAnsi="Times New Roman" w:cs="Times New Roman"/>
          <w:color w:val="212121"/>
          <w:sz w:val="24"/>
          <w:szCs w:val="24"/>
          <w:highlight w:val="white"/>
        </w:rPr>
        <w:t>1), 41–61.</w:t>
      </w:r>
    </w:p>
    <w:p w14:paraId="215EF75F" w14:textId="77777777" w:rsidR="00115942" w:rsidRPr="00115942" w:rsidRDefault="00115942" w:rsidP="00115942">
      <w:pPr>
        <w:jc w:val="both"/>
        <w:rPr>
          <w:rFonts w:ascii="Times New Roman" w:eastAsia="Times New Roman" w:hAnsi="Times New Roman" w:cs="Times New Roman"/>
          <w:color w:val="212121"/>
          <w:sz w:val="24"/>
          <w:szCs w:val="24"/>
          <w:highlight w:val="white"/>
          <w:lang w:val="en-US"/>
        </w:rPr>
      </w:pPr>
      <w:proofErr w:type="spellStart"/>
      <w:r w:rsidRPr="00115942">
        <w:rPr>
          <w:rFonts w:ascii="Times New Roman" w:eastAsia="Times New Roman" w:hAnsi="Times New Roman" w:cs="Times New Roman"/>
          <w:color w:val="212121"/>
          <w:sz w:val="24"/>
          <w:szCs w:val="24"/>
          <w:highlight w:val="white"/>
        </w:rPr>
        <w:t>Corriveau</w:t>
      </w:r>
      <w:proofErr w:type="spellEnd"/>
      <w:r w:rsidRPr="00115942">
        <w:rPr>
          <w:rFonts w:ascii="Times New Roman" w:eastAsia="Times New Roman" w:hAnsi="Times New Roman" w:cs="Times New Roman"/>
          <w:color w:val="212121"/>
          <w:sz w:val="24"/>
          <w:szCs w:val="24"/>
          <w:highlight w:val="white"/>
        </w:rPr>
        <w:t xml:space="preserve">, C. &amp; </w:t>
      </w:r>
      <w:proofErr w:type="spellStart"/>
      <w:r w:rsidRPr="00115942">
        <w:rPr>
          <w:rFonts w:ascii="Times New Roman" w:eastAsia="Times New Roman" w:hAnsi="Times New Roman" w:cs="Times New Roman"/>
          <w:color w:val="212121"/>
          <w:sz w:val="24"/>
          <w:szCs w:val="24"/>
          <w:highlight w:val="white"/>
        </w:rPr>
        <w:t>Bednarz</w:t>
      </w:r>
      <w:proofErr w:type="spellEnd"/>
      <w:r w:rsidRPr="00115942">
        <w:rPr>
          <w:rFonts w:ascii="Times New Roman" w:eastAsia="Times New Roman" w:hAnsi="Times New Roman" w:cs="Times New Roman"/>
          <w:color w:val="212121"/>
          <w:sz w:val="24"/>
          <w:szCs w:val="24"/>
          <w:highlight w:val="white"/>
        </w:rPr>
        <w:t xml:space="preserve">, N. (2016). </w:t>
      </w:r>
      <w:r w:rsidRPr="00115942">
        <w:rPr>
          <w:rFonts w:ascii="Times New Roman" w:eastAsia="Times New Roman" w:hAnsi="Times New Roman" w:cs="Times New Roman"/>
          <w:color w:val="212121"/>
          <w:sz w:val="24"/>
          <w:szCs w:val="24"/>
          <w:highlight w:val="white"/>
          <w:lang w:val="en-US"/>
        </w:rPr>
        <w:t>Collaborative research in mathematics education: approaching questions related to teaching practices. Paper presented at International Congress on Mathematical Education (ICME). Hamburg (Germany): University of Hamburg.</w:t>
      </w:r>
    </w:p>
    <w:p w14:paraId="5344AB5C" w14:textId="77777777" w:rsidR="00115942" w:rsidRPr="00115942" w:rsidRDefault="00115942" w:rsidP="00115942">
      <w:pPr>
        <w:jc w:val="both"/>
        <w:rPr>
          <w:rFonts w:ascii="Times New Roman" w:eastAsia="Times New Roman" w:hAnsi="Times New Roman" w:cs="Times New Roman"/>
          <w:color w:val="212121"/>
          <w:sz w:val="24"/>
          <w:szCs w:val="24"/>
          <w:highlight w:val="white"/>
        </w:rPr>
      </w:pPr>
      <w:proofErr w:type="spellStart"/>
      <w:r w:rsidRPr="00115942">
        <w:rPr>
          <w:rFonts w:ascii="Times New Roman" w:eastAsia="Times New Roman" w:hAnsi="Times New Roman" w:cs="Times New Roman"/>
          <w:color w:val="212121"/>
          <w:sz w:val="24"/>
          <w:szCs w:val="24"/>
          <w:highlight w:val="white"/>
        </w:rPr>
        <w:t>Corriveau</w:t>
      </w:r>
      <w:proofErr w:type="spellEnd"/>
      <w:r w:rsidRPr="00115942">
        <w:rPr>
          <w:rFonts w:ascii="Times New Roman" w:eastAsia="Times New Roman" w:hAnsi="Times New Roman" w:cs="Times New Roman"/>
          <w:color w:val="212121"/>
          <w:sz w:val="24"/>
          <w:szCs w:val="24"/>
          <w:highlight w:val="white"/>
        </w:rPr>
        <w:t xml:space="preserve">, C., &amp; </w:t>
      </w:r>
      <w:proofErr w:type="spellStart"/>
      <w:r w:rsidRPr="00115942">
        <w:rPr>
          <w:rFonts w:ascii="Times New Roman" w:eastAsia="Times New Roman" w:hAnsi="Times New Roman" w:cs="Times New Roman"/>
          <w:color w:val="212121"/>
          <w:sz w:val="24"/>
          <w:szCs w:val="24"/>
          <w:highlight w:val="white"/>
        </w:rPr>
        <w:t>Jeannotte</w:t>
      </w:r>
      <w:proofErr w:type="spellEnd"/>
      <w:r w:rsidRPr="00115942">
        <w:rPr>
          <w:rFonts w:ascii="Times New Roman" w:eastAsia="Times New Roman" w:hAnsi="Times New Roman" w:cs="Times New Roman"/>
          <w:color w:val="212121"/>
          <w:sz w:val="24"/>
          <w:szCs w:val="24"/>
          <w:highlight w:val="white"/>
        </w:rPr>
        <w:t xml:space="preserve"> D. (2015) Quelques apports du matériel de manipulation sur l’activité mathématique au primaire. </w:t>
      </w:r>
      <w:r w:rsidRPr="00115942">
        <w:rPr>
          <w:rFonts w:ascii="Times New Roman" w:eastAsia="Times New Roman" w:hAnsi="Times New Roman" w:cs="Times New Roman"/>
          <w:i/>
          <w:color w:val="212121"/>
          <w:sz w:val="24"/>
          <w:szCs w:val="24"/>
          <w:highlight w:val="white"/>
        </w:rPr>
        <w:t xml:space="preserve">Bulletin AMQ. </w:t>
      </w:r>
      <w:proofErr w:type="gramStart"/>
      <w:r w:rsidRPr="00115942">
        <w:rPr>
          <w:rFonts w:ascii="Times New Roman" w:eastAsia="Times New Roman" w:hAnsi="Times New Roman" w:cs="Times New Roman"/>
          <w:color w:val="212121"/>
          <w:sz w:val="24"/>
          <w:szCs w:val="24"/>
          <w:highlight w:val="white"/>
        </w:rPr>
        <w:t>LV(</w:t>
      </w:r>
      <w:proofErr w:type="gramEnd"/>
      <w:r w:rsidRPr="00115942">
        <w:rPr>
          <w:rFonts w:ascii="Times New Roman" w:eastAsia="Times New Roman" w:hAnsi="Times New Roman" w:cs="Times New Roman"/>
          <w:color w:val="212121"/>
          <w:sz w:val="24"/>
          <w:szCs w:val="24"/>
          <w:highlight w:val="white"/>
        </w:rPr>
        <w:t>3), 32–49.</w:t>
      </w:r>
    </w:p>
    <w:p w14:paraId="0C6EDCF0" w14:textId="77777777" w:rsidR="00115942" w:rsidRPr="00115942" w:rsidRDefault="00115942" w:rsidP="00115942">
      <w:pPr>
        <w:jc w:val="both"/>
        <w:rPr>
          <w:rFonts w:ascii="Times New Roman" w:eastAsia="Times New Roman" w:hAnsi="Times New Roman" w:cs="Times New Roman"/>
          <w:color w:val="212121"/>
          <w:sz w:val="24"/>
          <w:szCs w:val="24"/>
          <w:highlight w:val="white"/>
          <w:lang w:val="en-US"/>
        </w:rPr>
      </w:pPr>
      <w:proofErr w:type="spellStart"/>
      <w:r w:rsidRPr="00115942">
        <w:rPr>
          <w:rFonts w:ascii="Times New Roman" w:eastAsia="Times New Roman" w:hAnsi="Times New Roman" w:cs="Times New Roman"/>
          <w:color w:val="212121"/>
          <w:sz w:val="24"/>
          <w:szCs w:val="24"/>
          <w:highlight w:val="white"/>
        </w:rPr>
        <w:t>Desgagné</w:t>
      </w:r>
      <w:proofErr w:type="spellEnd"/>
      <w:r w:rsidRPr="00115942">
        <w:rPr>
          <w:rFonts w:ascii="Times New Roman" w:eastAsia="Times New Roman" w:hAnsi="Times New Roman" w:cs="Times New Roman"/>
          <w:color w:val="212121"/>
          <w:sz w:val="24"/>
          <w:szCs w:val="24"/>
          <w:highlight w:val="white"/>
        </w:rPr>
        <w:t xml:space="preserve">, S. (1998). La position du chercheur en recherche collaborative: illustration d’une démarche de médiation entre culture universitaire et culture scolaire. </w:t>
      </w:r>
      <w:proofErr w:type="spellStart"/>
      <w:r w:rsidRPr="00115942">
        <w:rPr>
          <w:rFonts w:ascii="Times New Roman" w:eastAsia="Times New Roman" w:hAnsi="Times New Roman" w:cs="Times New Roman"/>
          <w:i/>
          <w:color w:val="212121"/>
          <w:sz w:val="24"/>
          <w:szCs w:val="24"/>
          <w:highlight w:val="white"/>
          <w:lang w:val="en-US"/>
        </w:rPr>
        <w:t>Recherches</w:t>
      </w:r>
      <w:proofErr w:type="spellEnd"/>
      <w:r w:rsidRPr="00115942">
        <w:rPr>
          <w:rFonts w:ascii="Times New Roman" w:eastAsia="Times New Roman" w:hAnsi="Times New Roman" w:cs="Times New Roman"/>
          <w:i/>
          <w:color w:val="212121"/>
          <w:sz w:val="24"/>
          <w:szCs w:val="24"/>
          <w:highlight w:val="white"/>
          <w:lang w:val="en-US"/>
        </w:rPr>
        <w:t xml:space="preserve"> </w:t>
      </w:r>
      <w:proofErr w:type="spellStart"/>
      <w:r w:rsidRPr="00115942">
        <w:rPr>
          <w:rFonts w:ascii="Times New Roman" w:eastAsia="Times New Roman" w:hAnsi="Times New Roman" w:cs="Times New Roman"/>
          <w:i/>
          <w:color w:val="212121"/>
          <w:sz w:val="24"/>
          <w:szCs w:val="24"/>
          <w:highlight w:val="white"/>
          <w:lang w:val="en-US"/>
        </w:rPr>
        <w:t>qualitatives</w:t>
      </w:r>
      <w:proofErr w:type="spellEnd"/>
      <w:r w:rsidRPr="00115942">
        <w:rPr>
          <w:rFonts w:ascii="Times New Roman" w:eastAsia="Times New Roman" w:hAnsi="Times New Roman" w:cs="Times New Roman"/>
          <w:color w:val="212121"/>
          <w:sz w:val="24"/>
          <w:szCs w:val="24"/>
          <w:highlight w:val="white"/>
          <w:lang w:val="en-US"/>
        </w:rPr>
        <w:t xml:space="preserve">, </w:t>
      </w:r>
      <w:r w:rsidRPr="00115942">
        <w:rPr>
          <w:rFonts w:ascii="Times New Roman" w:eastAsia="Times New Roman" w:hAnsi="Times New Roman" w:cs="Times New Roman"/>
          <w:i/>
          <w:color w:val="212121"/>
          <w:sz w:val="24"/>
          <w:szCs w:val="24"/>
          <w:highlight w:val="white"/>
          <w:lang w:val="en-US"/>
        </w:rPr>
        <w:t>18</w:t>
      </w:r>
      <w:r w:rsidRPr="00115942">
        <w:rPr>
          <w:rFonts w:ascii="Times New Roman" w:eastAsia="Times New Roman" w:hAnsi="Times New Roman" w:cs="Times New Roman"/>
          <w:color w:val="212121"/>
          <w:sz w:val="24"/>
          <w:szCs w:val="24"/>
          <w:highlight w:val="white"/>
          <w:lang w:val="en-US"/>
        </w:rPr>
        <w:t>, 77–105.</w:t>
      </w:r>
    </w:p>
    <w:p w14:paraId="141EA7FA" w14:textId="77777777" w:rsidR="00115942" w:rsidRPr="00115942" w:rsidRDefault="00115942" w:rsidP="00115942">
      <w:pPr>
        <w:jc w:val="both"/>
        <w:rPr>
          <w:rFonts w:ascii="Times New Roman" w:eastAsia="Times New Roman" w:hAnsi="Times New Roman" w:cs="Times New Roman"/>
          <w:color w:val="212121"/>
          <w:sz w:val="24"/>
          <w:szCs w:val="24"/>
          <w:highlight w:val="white"/>
          <w:lang w:val="en-US"/>
        </w:rPr>
      </w:pPr>
      <w:r w:rsidRPr="00115942">
        <w:rPr>
          <w:rFonts w:ascii="Times New Roman" w:eastAsia="Times New Roman" w:hAnsi="Times New Roman" w:cs="Times New Roman"/>
          <w:color w:val="212121"/>
          <w:sz w:val="24"/>
          <w:szCs w:val="24"/>
          <w:highlight w:val="white"/>
          <w:lang w:val="en-US"/>
        </w:rPr>
        <w:t xml:space="preserve">Dienes, Z. P. (1973). Mathematics through the senses, games, dance, and art. Windsor, UK: The National Foundation for Educational Research Publishing Company Ltd. </w:t>
      </w:r>
    </w:p>
    <w:p w14:paraId="771ECB8D" w14:textId="77777777" w:rsidR="00115942" w:rsidRPr="00115942" w:rsidRDefault="00115942" w:rsidP="00115942">
      <w:pPr>
        <w:jc w:val="both"/>
        <w:rPr>
          <w:rFonts w:ascii="Times New Roman" w:eastAsia="Times New Roman" w:hAnsi="Times New Roman" w:cs="Times New Roman"/>
          <w:color w:val="212121"/>
          <w:sz w:val="24"/>
          <w:szCs w:val="24"/>
          <w:highlight w:val="white"/>
          <w:lang w:val="en-US"/>
        </w:rPr>
      </w:pPr>
      <w:r w:rsidRPr="00115942">
        <w:rPr>
          <w:rFonts w:ascii="Times New Roman" w:eastAsia="Times New Roman" w:hAnsi="Times New Roman" w:cs="Times New Roman"/>
          <w:color w:val="212121"/>
          <w:sz w:val="24"/>
          <w:szCs w:val="24"/>
          <w:highlight w:val="white"/>
          <w:lang w:val="en-US"/>
        </w:rPr>
        <w:t>Domino, J. (2010). The effects of physical manipulatives on achievement in mathematics in grades K-6: a meta-analysis. (</w:t>
      </w:r>
      <w:proofErr w:type="spellStart"/>
      <w:r w:rsidRPr="00115942">
        <w:rPr>
          <w:rFonts w:ascii="Times New Roman" w:eastAsia="Times New Roman" w:hAnsi="Times New Roman" w:cs="Times New Roman"/>
          <w:color w:val="212121"/>
          <w:sz w:val="24"/>
          <w:szCs w:val="24"/>
          <w:highlight w:val="white"/>
          <w:lang w:val="en-US"/>
        </w:rPr>
        <w:t>thèse</w:t>
      </w:r>
      <w:proofErr w:type="spellEnd"/>
      <w:r w:rsidRPr="00115942">
        <w:rPr>
          <w:rFonts w:ascii="Times New Roman" w:eastAsia="Times New Roman" w:hAnsi="Times New Roman" w:cs="Times New Roman"/>
          <w:color w:val="212121"/>
          <w:sz w:val="24"/>
          <w:szCs w:val="24"/>
          <w:highlight w:val="white"/>
          <w:lang w:val="en-US"/>
        </w:rPr>
        <w:t xml:space="preserve"> non </w:t>
      </w:r>
      <w:proofErr w:type="spellStart"/>
      <w:r w:rsidRPr="00115942">
        <w:rPr>
          <w:rFonts w:ascii="Times New Roman" w:eastAsia="Times New Roman" w:hAnsi="Times New Roman" w:cs="Times New Roman"/>
          <w:color w:val="212121"/>
          <w:sz w:val="24"/>
          <w:szCs w:val="24"/>
          <w:highlight w:val="white"/>
          <w:lang w:val="en-US"/>
        </w:rPr>
        <w:t>publiée</w:t>
      </w:r>
      <w:proofErr w:type="spellEnd"/>
      <w:r w:rsidRPr="00115942">
        <w:rPr>
          <w:rFonts w:ascii="Times New Roman" w:eastAsia="Times New Roman" w:hAnsi="Times New Roman" w:cs="Times New Roman"/>
          <w:color w:val="212121"/>
          <w:sz w:val="24"/>
          <w:szCs w:val="24"/>
          <w:highlight w:val="white"/>
          <w:lang w:val="en-US"/>
        </w:rPr>
        <w:t>). State University of New York at Buffalo.</w:t>
      </w:r>
    </w:p>
    <w:p w14:paraId="7373E717" w14:textId="77777777" w:rsidR="00115942" w:rsidRPr="00115942" w:rsidRDefault="00115942" w:rsidP="00115942">
      <w:pPr>
        <w:jc w:val="both"/>
        <w:rPr>
          <w:rFonts w:ascii="Times New Roman" w:eastAsia="Times New Roman" w:hAnsi="Times New Roman" w:cs="Times New Roman"/>
          <w:color w:val="212121"/>
          <w:sz w:val="24"/>
          <w:szCs w:val="24"/>
          <w:highlight w:val="white"/>
          <w:lang w:val="en-US"/>
        </w:rPr>
      </w:pPr>
      <w:proofErr w:type="spellStart"/>
      <w:r w:rsidRPr="00115942">
        <w:rPr>
          <w:rFonts w:ascii="Times New Roman" w:eastAsia="Times New Roman" w:hAnsi="Times New Roman" w:cs="Times New Roman"/>
          <w:color w:val="212121"/>
          <w:sz w:val="24"/>
          <w:szCs w:val="24"/>
          <w:highlight w:val="white"/>
          <w:lang w:val="en-US"/>
        </w:rPr>
        <w:t>Drijvers</w:t>
      </w:r>
      <w:proofErr w:type="spellEnd"/>
      <w:r w:rsidRPr="00115942">
        <w:rPr>
          <w:rFonts w:ascii="Times New Roman" w:eastAsia="Times New Roman" w:hAnsi="Times New Roman" w:cs="Times New Roman"/>
          <w:color w:val="212121"/>
          <w:sz w:val="24"/>
          <w:szCs w:val="24"/>
          <w:highlight w:val="white"/>
          <w:lang w:val="en-US"/>
        </w:rPr>
        <w:t>, P. (2003). </w:t>
      </w:r>
      <w:r w:rsidRPr="00115942">
        <w:rPr>
          <w:rFonts w:ascii="Times New Roman" w:eastAsia="Times New Roman" w:hAnsi="Times New Roman" w:cs="Times New Roman"/>
          <w:i/>
          <w:iCs/>
          <w:color w:val="212121"/>
          <w:sz w:val="24"/>
          <w:szCs w:val="24"/>
          <w:highlight w:val="white"/>
          <w:lang w:val="en-US"/>
        </w:rPr>
        <w:t>Learning algebra</w:t>
      </w:r>
      <w:r w:rsidRPr="00115942">
        <w:rPr>
          <w:rFonts w:ascii="Times New Roman" w:eastAsia="Times New Roman" w:hAnsi="Times New Roman" w:cs="Times New Roman"/>
          <w:color w:val="212121"/>
          <w:sz w:val="24"/>
          <w:szCs w:val="24"/>
          <w:highlight w:val="white"/>
          <w:lang w:val="en-US"/>
        </w:rPr>
        <w:t> </w:t>
      </w:r>
      <w:r w:rsidRPr="00115942">
        <w:rPr>
          <w:rFonts w:ascii="Times New Roman" w:eastAsia="Times New Roman" w:hAnsi="Times New Roman" w:cs="Times New Roman"/>
          <w:i/>
          <w:iCs/>
          <w:color w:val="212121"/>
          <w:sz w:val="24"/>
          <w:szCs w:val="24"/>
          <w:highlight w:val="white"/>
          <w:lang w:val="en-US"/>
        </w:rPr>
        <w:t>in a computer algebra environment: design research on the understanding of the concept of parameter</w:t>
      </w:r>
      <w:r w:rsidRPr="00115942">
        <w:rPr>
          <w:rFonts w:ascii="Times New Roman" w:eastAsia="Times New Roman" w:hAnsi="Times New Roman" w:cs="Times New Roman"/>
          <w:color w:val="212121"/>
          <w:sz w:val="24"/>
          <w:szCs w:val="24"/>
          <w:highlight w:val="white"/>
          <w:lang w:val="en-US"/>
        </w:rPr>
        <w:t>. Utrecht, the Netherlands: CD-</w:t>
      </w:r>
      <w:r w:rsidRPr="00115942">
        <w:rPr>
          <w:rFonts w:ascii="Times New Roman" w:eastAsia="Times New Roman" w:hAnsi="Times New Roman" w:cs="Times New Roman"/>
          <w:color w:val="212121"/>
          <w:sz w:val="24"/>
          <w:szCs w:val="24"/>
          <w:highlight w:val="white"/>
        </w:rPr>
        <w:t>β</w:t>
      </w:r>
      <w:r w:rsidRPr="00115942">
        <w:rPr>
          <w:rFonts w:ascii="Times New Roman" w:eastAsia="Times New Roman" w:hAnsi="Times New Roman" w:cs="Times New Roman"/>
          <w:color w:val="212121"/>
          <w:sz w:val="24"/>
          <w:szCs w:val="24"/>
          <w:highlight w:val="white"/>
          <w:lang w:val="en-US"/>
        </w:rPr>
        <w:t xml:space="preserve"> Press</w:t>
      </w:r>
    </w:p>
    <w:p w14:paraId="40755BC3" w14:textId="77777777" w:rsidR="00115942" w:rsidRPr="00115942" w:rsidRDefault="00115942" w:rsidP="00115942">
      <w:pPr>
        <w:jc w:val="both"/>
        <w:rPr>
          <w:rFonts w:ascii="Times New Roman" w:eastAsia="Times New Roman" w:hAnsi="Times New Roman" w:cs="Times New Roman"/>
          <w:color w:val="212121"/>
          <w:sz w:val="24"/>
          <w:szCs w:val="24"/>
          <w:highlight w:val="white"/>
          <w:lang w:val="fr-FR"/>
        </w:rPr>
      </w:pPr>
      <w:r w:rsidRPr="00115942">
        <w:rPr>
          <w:rFonts w:ascii="Times New Roman" w:eastAsia="Times New Roman" w:hAnsi="Times New Roman" w:cs="Times New Roman"/>
          <w:color w:val="212121"/>
          <w:sz w:val="24"/>
          <w:szCs w:val="24"/>
          <w:highlight w:val="white"/>
          <w:lang w:val="en-US"/>
        </w:rPr>
        <w:t xml:space="preserve">Garfinkel, H. (1967). </w:t>
      </w:r>
      <w:r w:rsidRPr="00115942">
        <w:rPr>
          <w:rFonts w:ascii="Times New Roman" w:eastAsia="Times New Roman" w:hAnsi="Times New Roman" w:cs="Times New Roman"/>
          <w:i/>
          <w:color w:val="212121"/>
          <w:sz w:val="24"/>
          <w:szCs w:val="24"/>
          <w:highlight w:val="white"/>
          <w:lang w:val="en-US"/>
        </w:rPr>
        <w:t>Studies in ethnomethodology</w:t>
      </w:r>
      <w:r w:rsidRPr="00115942">
        <w:rPr>
          <w:rFonts w:ascii="Times New Roman" w:eastAsia="Times New Roman" w:hAnsi="Times New Roman" w:cs="Times New Roman"/>
          <w:color w:val="212121"/>
          <w:sz w:val="24"/>
          <w:szCs w:val="24"/>
          <w:highlight w:val="white"/>
          <w:lang w:val="en-US"/>
        </w:rPr>
        <w:t xml:space="preserve">. Englewood Cliffs, NJ: Prentice Hall. </w:t>
      </w:r>
      <w:proofErr w:type="spellStart"/>
      <w:r w:rsidRPr="00115942">
        <w:rPr>
          <w:rFonts w:ascii="Times New Roman" w:eastAsia="Times New Roman" w:hAnsi="Times New Roman" w:cs="Times New Roman"/>
          <w:color w:val="212121"/>
          <w:sz w:val="24"/>
          <w:szCs w:val="24"/>
          <w:highlight w:val="white"/>
          <w:lang w:val="fr-FR"/>
        </w:rPr>
        <w:t>Paradigm</w:t>
      </w:r>
      <w:proofErr w:type="spellEnd"/>
      <w:r w:rsidRPr="00115942">
        <w:rPr>
          <w:rFonts w:ascii="Times New Roman" w:eastAsia="Times New Roman" w:hAnsi="Times New Roman" w:cs="Times New Roman"/>
          <w:color w:val="212121"/>
          <w:sz w:val="24"/>
          <w:szCs w:val="24"/>
          <w:highlight w:val="white"/>
          <w:lang w:val="fr-FR"/>
        </w:rPr>
        <w:t xml:space="preserve"> </w:t>
      </w:r>
      <w:proofErr w:type="spellStart"/>
      <w:r w:rsidRPr="00115942">
        <w:rPr>
          <w:rFonts w:ascii="Times New Roman" w:eastAsia="Times New Roman" w:hAnsi="Times New Roman" w:cs="Times New Roman"/>
          <w:color w:val="212121"/>
          <w:sz w:val="24"/>
          <w:szCs w:val="24"/>
          <w:highlight w:val="white"/>
          <w:lang w:val="fr-FR"/>
        </w:rPr>
        <w:t>Publishers</w:t>
      </w:r>
      <w:proofErr w:type="spellEnd"/>
      <w:r w:rsidRPr="00115942">
        <w:rPr>
          <w:rFonts w:ascii="Times New Roman" w:eastAsia="Times New Roman" w:hAnsi="Times New Roman" w:cs="Times New Roman"/>
          <w:color w:val="212121"/>
          <w:sz w:val="24"/>
          <w:szCs w:val="24"/>
          <w:highlight w:val="white"/>
          <w:lang w:val="fr-FR"/>
        </w:rPr>
        <w:t xml:space="preserve">. </w:t>
      </w:r>
    </w:p>
    <w:p w14:paraId="714E0BCC" w14:textId="77777777" w:rsidR="00115942" w:rsidRPr="00115942" w:rsidRDefault="00115942" w:rsidP="00115942">
      <w:pPr>
        <w:jc w:val="both"/>
        <w:rPr>
          <w:rFonts w:ascii="Times New Roman" w:eastAsia="Times New Roman" w:hAnsi="Times New Roman" w:cs="Times New Roman"/>
          <w:color w:val="212121"/>
          <w:sz w:val="24"/>
          <w:szCs w:val="24"/>
          <w:highlight w:val="white"/>
          <w:lang w:val="en-US"/>
        </w:rPr>
      </w:pPr>
      <w:proofErr w:type="spellStart"/>
      <w:r w:rsidRPr="00115942">
        <w:rPr>
          <w:rFonts w:ascii="Times New Roman" w:eastAsia="Times New Roman" w:hAnsi="Times New Roman" w:cs="Times New Roman"/>
          <w:color w:val="212121"/>
          <w:sz w:val="24"/>
          <w:szCs w:val="24"/>
          <w:highlight w:val="white"/>
        </w:rPr>
        <w:t>Jeannotte</w:t>
      </w:r>
      <w:proofErr w:type="spellEnd"/>
      <w:r w:rsidRPr="00115942">
        <w:rPr>
          <w:rFonts w:ascii="Times New Roman" w:eastAsia="Times New Roman" w:hAnsi="Times New Roman" w:cs="Times New Roman"/>
          <w:color w:val="212121"/>
          <w:sz w:val="24"/>
          <w:szCs w:val="24"/>
          <w:highlight w:val="white"/>
        </w:rPr>
        <w:t xml:space="preserve">, D. &amp; </w:t>
      </w:r>
      <w:proofErr w:type="spellStart"/>
      <w:r w:rsidRPr="00115942">
        <w:rPr>
          <w:rFonts w:ascii="Times New Roman" w:eastAsia="Times New Roman" w:hAnsi="Times New Roman" w:cs="Times New Roman"/>
          <w:color w:val="212121"/>
          <w:sz w:val="24"/>
          <w:szCs w:val="24"/>
          <w:highlight w:val="white"/>
        </w:rPr>
        <w:t>Corriveau</w:t>
      </w:r>
      <w:proofErr w:type="spellEnd"/>
      <w:r w:rsidRPr="00115942">
        <w:rPr>
          <w:rFonts w:ascii="Times New Roman" w:eastAsia="Times New Roman" w:hAnsi="Times New Roman" w:cs="Times New Roman"/>
          <w:color w:val="212121"/>
          <w:sz w:val="24"/>
          <w:szCs w:val="24"/>
          <w:highlight w:val="white"/>
        </w:rPr>
        <w:t xml:space="preserve">, C. (2015). Analyse de l’utilisation d’un matériel symbolique en troisième année du primaire : raisonnement mathématique et accompagnement. </w:t>
      </w:r>
      <w:r w:rsidRPr="00115942">
        <w:rPr>
          <w:rFonts w:ascii="Times New Roman" w:eastAsia="Times New Roman" w:hAnsi="Times New Roman" w:cs="Times New Roman"/>
          <w:i/>
          <w:color w:val="212121"/>
          <w:sz w:val="24"/>
          <w:szCs w:val="24"/>
          <w:highlight w:val="white"/>
          <w:lang w:val="en-US"/>
        </w:rPr>
        <w:t xml:space="preserve">In </w:t>
      </w:r>
      <w:r w:rsidRPr="00115942">
        <w:rPr>
          <w:rFonts w:ascii="Times New Roman" w:eastAsia="Times New Roman" w:hAnsi="Times New Roman" w:cs="Times New Roman"/>
          <w:color w:val="212121"/>
          <w:sz w:val="24"/>
          <w:szCs w:val="24"/>
          <w:highlight w:val="white"/>
          <w:lang w:val="en-US"/>
        </w:rPr>
        <w:t xml:space="preserve">A. </w:t>
      </w:r>
      <w:proofErr w:type="spellStart"/>
      <w:r w:rsidRPr="00115942">
        <w:rPr>
          <w:rFonts w:ascii="Times New Roman" w:eastAsia="Times New Roman" w:hAnsi="Times New Roman" w:cs="Times New Roman"/>
          <w:color w:val="212121"/>
          <w:sz w:val="24"/>
          <w:szCs w:val="24"/>
          <w:highlight w:val="white"/>
          <w:lang w:val="en-US"/>
        </w:rPr>
        <w:t>Adihou</w:t>
      </w:r>
      <w:proofErr w:type="spellEnd"/>
      <w:r w:rsidRPr="00115942">
        <w:rPr>
          <w:rFonts w:ascii="Times New Roman" w:eastAsia="Times New Roman" w:hAnsi="Times New Roman" w:cs="Times New Roman"/>
          <w:color w:val="212121"/>
          <w:sz w:val="24"/>
          <w:szCs w:val="24"/>
          <w:highlight w:val="white"/>
          <w:lang w:val="en-US"/>
        </w:rPr>
        <w:t xml:space="preserve"> </w:t>
      </w:r>
      <w:r w:rsidRPr="00115942">
        <w:rPr>
          <w:rFonts w:ascii="Times New Roman" w:eastAsia="Times New Roman" w:hAnsi="Times New Roman" w:cs="Times New Roman"/>
          <w:i/>
          <w:color w:val="212121"/>
          <w:sz w:val="24"/>
          <w:szCs w:val="24"/>
          <w:highlight w:val="white"/>
          <w:lang w:val="en-US"/>
        </w:rPr>
        <w:t>et al</w:t>
      </w:r>
      <w:r w:rsidRPr="00115942">
        <w:rPr>
          <w:rFonts w:ascii="Times New Roman" w:eastAsia="Times New Roman" w:hAnsi="Times New Roman" w:cs="Times New Roman"/>
          <w:color w:val="212121"/>
          <w:sz w:val="24"/>
          <w:szCs w:val="24"/>
          <w:highlight w:val="white"/>
          <w:lang w:val="en-US"/>
        </w:rPr>
        <w:t xml:space="preserve">. (Eds.) </w:t>
      </w:r>
      <w:r w:rsidRPr="00115942">
        <w:rPr>
          <w:rFonts w:ascii="Times New Roman" w:eastAsia="Times New Roman" w:hAnsi="Times New Roman" w:cs="Times New Roman"/>
          <w:i/>
          <w:color w:val="212121"/>
          <w:sz w:val="24"/>
          <w:szCs w:val="24"/>
          <w:highlight w:val="white"/>
          <w:lang w:val="en-US"/>
        </w:rPr>
        <w:t>Proceedings of the 2015 GDM Seminar</w:t>
      </w:r>
      <w:r w:rsidRPr="00115942">
        <w:rPr>
          <w:rFonts w:ascii="Times New Roman" w:eastAsia="Times New Roman" w:hAnsi="Times New Roman" w:cs="Times New Roman"/>
          <w:color w:val="212121"/>
          <w:sz w:val="24"/>
          <w:szCs w:val="24"/>
          <w:highlight w:val="white"/>
          <w:lang w:val="en-US"/>
        </w:rPr>
        <w:t xml:space="preserve">, Québec: </w:t>
      </w:r>
      <w:proofErr w:type="spellStart"/>
      <w:r w:rsidRPr="00115942">
        <w:rPr>
          <w:rFonts w:ascii="Times New Roman" w:eastAsia="Times New Roman" w:hAnsi="Times New Roman" w:cs="Times New Roman"/>
          <w:color w:val="212121"/>
          <w:sz w:val="24"/>
          <w:szCs w:val="24"/>
          <w:highlight w:val="white"/>
          <w:lang w:val="en-US"/>
        </w:rPr>
        <w:t>Université</w:t>
      </w:r>
      <w:proofErr w:type="spellEnd"/>
      <w:r w:rsidRPr="00115942">
        <w:rPr>
          <w:rFonts w:ascii="Times New Roman" w:eastAsia="Times New Roman" w:hAnsi="Times New Roman" w:cs="Times New Roman"/>
          <w:color w:val="212121"/>
          <w:sz w:val="24"/>
          <w:szCs w:val="24"/>
          <w:highlight w:val="white"/>
          <w:lang w:val="en-US"/>
        </w:rPr>
        <w:t xml:space="preserve"> de Sherbrooke.</w:t>
      </w:r>
    </w:p>
    <w:p w14:paraId="5A2787A5" w14:textId="77777777" w:rsidR="00115942" w:rsidRPr="00115942" w:rsidRDefault="00115942" w:rsidP="00115942">
      <w:pPr>
        <w:jc w:val="both"/>
        <w:rPr>
          <w:rFonts w:ascii="Times New Roman" w:eastAsia="Times New Roman" w:hAnsi="Times New Roman" w:cs="Times New Roman"/>
          <w:color w:val="212121"/>
          <w:sz w:val="24"/>
          <w:szCs w:val="24"/>
          <w:highlight w:val="white"/>
          <w:lang w:val="en-US"/>
        </w:rPr>
      </w:pPr>
      <w:proofErr w:type="spellStart"/>
      <w:r w:rsidRPr="00115942">
        <w:rPr>
          <w:rFonts w:ascii="Times New Roman" w:eastAsia="Times New Roman" w:hAnsi="Times New Roman" w:cs="Times New Roman"/>
          <w:color w:val="212121"/>
          <w:sz w:val="24"/>
          <w:szCs w:val="24"/>
          <w:highlight w:val="white"/>
          <w:lang w:val="de-DE"/>
        </w:rPr>
        <w:t>Kosko</w:t>
      </w:r>
      <w:proofErr w:type="spellEnd"/>
      <w:r w:rsidRPr="00115942">
        <w:rPr>
          <w:rFonts w:ascii="Times New Roman" w:eastAsia="Times New Roman" w:hAnsi="Times New Roman" w:cs="Times New Roman"/>
          <w:color w:val="212121"/>
          <w:sz w:val="24"/>
          <w:szCs w:val="24"/>
          <w:highlight w:val="white"/>
          <w:lang w:val="de-DE"/>
        </w:rPr>
        <w:t xml:space="preserve">, K. W., &amp; Wilkins, J. L. (2010). </w:t>
      </w:r>
      <w:r w:rsidRPr="00115942">
        <w:rPr>
          <w:rFonts w:ascii="Times New Roman" w:eastAsia="Times New Roman" w:hAnsi="Times New Roman" w:cs="Times New Roman"/>
          <w:color w:val="212121"/>
          <w:sz w:val="24"/>
          <w:szCs w:val="24"/>
          <w:highlight w:val="white"/>
          <w:lang w:val="en-US"/>
        </w:rPr>
        <w:t xml:space="preserve">Mathematical communication and its relation to the frequency of manipulative use. International Electronic Journal of Mathematic Education, </w:t>
      </w:r>
      <w:r w:rsidRPr="00115942">
        <w:rPr>
          <w:rFonts w:ascii="Times New Roman" w:eastAsia="Times New Roman" w:hAnsi="Times New Roman" w:cs="Times New Roman"/>
          <w:i/>
          <w:color w:val="212121"/>
          <w:sz w:val="24"/>
          <w:szCs w:val="24"/>
          <w:highlight w:val="white"/>
          <w:lang w:val="en-US"/>
        </w:rPr>
        <w:t>5</w:t>
      </w:r>
      <w:r w:rsidRPr="00115942">
        <w:rPr>
          <w:rFonts w:ascii="Times New Roman" w:eastAsia="Times New Roman" w:hAnsi="Times New Roman" w:cs="Times New Roman"/>
          <w:color w:val="212121"/>
          <w:sz w:val="24"/>
          <w:szCs w:val="24"/>
          <w:highlight w:val="white"/>
          <w:lang w:val="en-US"/>
        </w:rPr>
        <w:t>(2), 79–90.</w:t>
      </w:r>
    </w:p>
    <w:p w14:paraId="398BAC91" w14:textId="77777777" w:rsidR="00115942" w:rsidRPr="00115942" w:rsidRDefault="00115942" w:rsidP="00115942">
      <w:pPr>
        <w:jc w:val="both"/>
        <w:rPr>
          <w:rFonts w:ascii="Times New Roman" w:eastAsia="Times New Roman" w:hAnsi="Times New Roman" w:cs="Times New Roman"/>
          <w:color w:val="212121"/>
          <w:sz w:val="24"/>
          <w:szCs w:val="24"/>
          <w:highlight w:val="white"/>
          <w:lang w:val="en-US"/>
        </w:rPr>
      </w:pPr>
      <w:r w:rsidRPr="00115942">
        <w:rPr>
          <w:rFonts w:ascii="Times New Roman" w:eastAsia="Times New Roman" w:hAnsi="Times New Roman" w:cs="Times New Roman"/>
          <w:color w:val="212121"/>
          <w:sz w:val="24"/>
          <w:szCs w:val="24"/>
          <w:highlight w:val="white"/>
          <w:lang w:val="en-US"/>
        </w:rPr>
        <w:t xml:space="preserve">Lave, J. (1988). </w:t>
      </w:r>
      <w:r w:rsidRPr="00115942">
        <w:rPr>
          <w:rFonts w:ascii="Times New Roman" w:eastAsia="Times New Roman" w:hAnsi="Times New Roman" w:cs="Times New Roman"/>
          <w:i/>
          <w:iCs/>
          <w:color w:val="212121"/>
          <w:sz w:val="24"/>
          <w:szCs w:val="24"/>
          <w:highlight w:val="white"/>
          <w:lang w:val="en-US"/>
        </w:rPr>
        <w:t xml:space="preserve">Cognition in practice: mind, </w:t>
      </w:r>
      <w:proofErr w:type="gramStart"/>
      <w:r w:rsidRPr="00115942">
        <w:rPr>
          <w:rFonts w:ascii="Times New Roman" w:eastAsia="Times New Roman" w:hAnsi="Times New Roman" w:cs="Times New Roman"/>
          <w:i/>
          <w:iCs/>
          <w:color w:val="212121"/>
          <w:sz w:val="24"/>
          <w:szCs w:val="24"/>
          <w:highlight w:val="white"/>
          <w:lang w:val="en-US"/>
        </w:rPr>
        <w:t>mathematics</w:t>
      </w:r>
      <w:proofErr w:type="gramEnd"/>
      <w:r w:rsidRPr="00115942">
        <w:rPr>
          <w:rFonts w:ascii="Times New Roman" w:eastAsia="Times New Roman" w:hAnsi="Times New Roman" w:cs="Times New Roman"/>
          <w:i/>
          <w:iCs/>
          <w:color w:val="212121"/>
          <w:sz w:val="24"/>
          <w:szCs w:val="24"/>
          <w:highlight w:val="white"/>
          <w:lang w:val="en-US"/>
        </w:rPr>
        <w:t xml:space="preserve"> and culture in everyday life</w:t>
      </w:r>
      <w:r w:rsidRPr="00115942">
        <w:rPr>
          <w:rFonts w:ascii="Times New Roman" w:eastAsia="Times New Roman" w:hAnsi="Times New Roman" w:cs="Times New Roman"/>
          <w:color w:val="212121"/>
          <w:sz w:val="24"/>
          <w:szCs w:val="24"/>
          <w:highlight w:val="white"/>
          <w:lang w:val="en-US"/>
        </w:rPr>
        <w:t xml:space="preserve">. Cambridge: Cambridge University Press. </w:t>
      </w:r>
    </w:p>
    <w:p w14:paraId="3E681888" w14:textId="77777777" w:rsidR="00115942" w:rsidRPr="00115942" w:rsidRDefault="00115942" w:rsidP="00115942">
      <w:pPr>
        <w:jc w:val="both"/>
        <w:rPr>
          <w:rFonts w:ascii="Times New Roman" w:eastAsia="Times New Roman" w:hAnsi="Times New Roman" w:cs="Times New Roman"/>
          <w:color w:val="212121"/>
          <w:sz w:val="24"/>
          <w:szCs w:val="24"/>
          <w:highlight w:val="white"/>
        </w:rPr>
      </w:pPr>
      <w:r w:rsidRPr="00115942">
        <w:rPr>
          <w:rFonts w:ascii="Times New Roman" w:eastAsia="Times New Roman" w:hAnsi="Times New Roman" w:cs="Times New Roman"/>
          <w:color w:val="212121"/>
          <w:sz w:val="24"/>
          <w:szCs w:val="24"/>
          <w:highlight w:val="white"/>
          <w:lang w:val="en-US"/>
        </w:rPr>
        <w:t xml:space="preserve">Lett, S. (2007). Using manipulative materials to increase pupil achievement in mathematics. </w:t>
      </w:r>
      <w:r w:rsidRPr="00115942">
        <w:rPr>
          <w:rFonts w:ascii="Times New Roman" w:eastAsia="Times New Roman" w:hAnsi="Times New Roman" w:cs="Times New Roman"/>
          <w:i/>
          <w:color w:val="212121"/>
          <w:sz w:val="24"/>
          <w:szCs w:val="24"/>
          <w:highlight w:val="white"/>
        </w:rPr>
        <w:t>Rapport de recherche,</w:t>
      </w:r>
      <w:r w:rsidRPr="00115942">
        <w:rPr>
          <w:rFonts w:ascii="Times New Roman" w:eastAsia="Times New Roman" w:hAnsi="Times New Roman" w:cs="Times New Roman"/>
          <w:color w:val="212121"/>
          <w:sz w:val="24"/>
          <w:szCs w:val="24"/>
          <w:highlight w:val="white"/>
        </w:rPr>
        <w:t xml:space="preserve"> Marie Grove </w:t>
      </w:r>
      <w:proofErr w:type="spellStart"/>
      <w:r w:rsidRPr="00115942">
        <w:rPr>
          <w:rFonts w:ascii="Times New Roman" w:eastAsia="Times New Roman" w:hAnsi="Times New Roman" w:cs="Times New Roman"/>
          <w:color w:val="212121"/>
          <w:sz w:val="24"/>
          <w:szCs w:val="24"/>
          <w:highlight w:val="white"/>
        </w:rPr>
        <w:t>College</w:t>
      </w:r>
      <w:proofErr w:type="spellEnd"/>
      <w:r w:rsidRPr="00115942">
        <w:rPr>
          <w:rFonts w:ascii="Times New Roman" w:eastAsia="Times New Roman" w:hAnsi="Times New Roman" w:cs="Times New Roman"/>
          <w:color w:val="212121"/>
          <w:sz w:val="24"/>
          <w:szCs w:val="24"/>
          <w:highlight w:val="white"/>
        </w:rPr>
        <w:t>.</w:t>
      </w:r>
    </w:p>
    <w:p w14:paraId="3A81FBCA" w14:textId="77777777" w:rsidR="00115942" w:rsidRPr="00115942" w:rsidRDefault="00115942" w:rsidP="00115942">
      <w:pPr>
        <w:jc w:val="both"/>
        <w:rPr>
          <w:rFonts w:ascii="Times New Roman" w:eastAsia="Times New Roman" w:hAnsi="Times New Roman" w:cs="Times New Roman"/>
          <w:color w:val="212121"/>
          <w:sz w:val="24"/>
          <w:szCs w:val="24"/>
          <w:highlight w:val="white"/>
          <w:lang w:val="en-US"/>
        </w:rPr>
      </w:pPr>
      <w:r w:rsidRPr="00115942">
        <w:rPr>
          <w:rFonts w:ascii="Times New Roman" w:eastAsia="Times New Roman" w:hAnsi="Times New Roman" w:cs="Times New Roman"/>
          <w:color w:val="212121"/>
          <w:sz w:val="24"/>
          <w:szCs w:val="24"/>
          <w:highlight w:val="white"/>
        </w:rPr>
        <w:t xml:space="preserve">McNeil, N., &amp; </w:t>
      </w:r>
      <w:proofErr w:type="spellStart"/>
      <w:r w:rsidRPr="00115942">
        <w:rPr>
          <w:rFonts w:ascii="Times New Roman" w:eastAsia="Times New Roman" w:hAnsi="Times New Roman" w:cs="Times New Roman"/>
          <w:color w:val="212121"/>
          <w:sz w:val="24"/>
          <w:szCs w:val="24"/>
          <w:highlight w:val="white"/>
        </w:rPr>
        <w:t>Jarvin</w:t>
      </w:r>
      <w:proofErr w:type="spellEnd"/>
      <w:r w:rsidRPr="00115942">
        <w:rPr>
          <w:rFonts w:ascii="Times New Roman" w:eastAsia="Times New Roman" w:hAnsi="Times New Roman" w:cs="Times New Roman"/>
          <w:color w:val="212121"/>
          <w:sz w:val="24"/>
          <w:szCs w:val="24"/>
          <w:highlight w:val="white"/>
        </w:rPr>
        <w:t xml:space="preserve">, L. (2007). </w:t>
      </w:r>
      <w:r w:rsidRPr="00115942">
        <w:rPr>
          <w:rFonts w:ascii="Times New Roman" w:eastAsia="Times New Roman" w:hAnsi="Times New Roman" w:cs="Times New Roman"/>
          <w:color w:val="212121"/>
          <w:sz w:val="24"/>
          <w:szCs w:val="24"/>
          <w:highlight w:val="white"/>
          <w:lang w:val="en-US"/>
        </w:rPr>
        <w:t xml:space="preserve">When theories don't add up: disentangling </w:t>
      </w:r>
      <w:proofErr w:type="gramStart"/>
      <w:r w:rsidRPr="00115942">
        <w:rPr>
          <w:rFonts w:ascii="Times New Roman" w:eastAsia="Times New Roman" w:hAnsi="Times New Roman" w:cs="Times New Roman"/>
          <w:color w:val="212121"/>
          <w:sz w:val="24"/>
          <w:szCs w:val="24"/>
          <w:highlight w:val="white"/>
          <w:lang w:val="en-US"/>
        </w:rPr>
        <w:t>he</w:t>
      </w:r>
      <w:proofErr w:type="gramEnd"/>
      <w:r w:rsidRPr="00115942">
        <w:rPr>
          <w:rFonts w:ascii="Times New Roman" w:eastAsia="Times New Roman" w:hAnsi="Times New Roman" w:cs="Times New Roman"/>
          <w:color w:val="212121"/>
          <w:sz w:val="24"/>
          <w:szCs w:val="24"/>
          <w:highlight w:val="white"/>
          <w:lang w:val="en-US"/>
        </w:rPr>
        <w:t xml:space="preserve"> manipulatives debate. Theory into Practice, </w:t>
      </w:r>
      <w:r w:rsidRPr="00115942">
        <w:rPr>
          <w:rFonts w:ascii="Times New Roman" w:eastAsia="Times New Roman" w:hAnsi="Times New Roman" w:cs="Times New Roman"/>
          <w:i/>
          <w:color w:val="212121"/>
          <w:sz w:val="24"/>
          <w:szCs w:val="24"/>
          <w:highlight w:val="white"/>
          <w:lang w:val="en-US"/>
        </w:rPr>
        <w:t>46</w:t>
      </w:r>
      <w:r w:rsidRPr="00115942">
        <w:rPr>
          <w:rFonts w:ascii="Times New Roman" w:eastAsia="Times New Roman" w:hAnsi="Times New Roman" w:cs="Times New Roman"/>
          <w:color w:val="212121"/>
          <w:sz w:val="24"/>
          <w:szCs w:val="24"/>
          <w:highlight w:val="white"/>
          <w:lang w:val="en-US"/>
        </w:rPr>
        <w:t xml:space="preserve">(4), 309–316. </w:t>
      </w:r>
    </w:p>
    <w:p w14:paraId="27A53AD1" w14:textId="77777777" w:rsidR="00115942" w:rsidRPr="00115942" w:rsidRDefault="00115942" w:rsidP="00115942">
      <w:pPr>
        <w:jc w:val="both"/>
        <w:rPr>
          <w:rFonts w:ascii="Times New Roman" w:eastAsia="Times New Roman" w:hAnsi="Times New Roman" w:cs="Times New Roman"/>
          <w:color w:val="212121"/>
          <w:sz w:val="24"/>
          <w:szCs w:val="24"/>
          <w:highlight w:val="white"/>
          <w:lang w:val="en-US"/>
        </w:rPr>
      </w:pPr>
      <w:r w:rsidRPr="00115942">
        <w:rPr>
          <w:rFonts w:ascii="Times New Roman" w:eastAsia="Times New Roman" w:hAnsi="Times New Roman" w:cs="Times New Roman"/>
          <w:color w:val="212121"/>
          <w:sz w:val="24"/>
          <w:szCs w:val="24"/>
          <w:highlight w:val="white"/>
          <w:lang w:val="en-US"/>
        </w:rPr>
        <w:t xml:space="preserve">Moyer, P. S. (2001). Are we having fun yet? How teachers use manipulatives to teach mathematics. </w:t>
      </w:r>
      <w:r w:rsidRPr="00115942">
        <w:rPr>
          <w:rFonts w:ascii="Times New Roman" w:eastAsia="Times New Roman" w:hAnsi="Times New Roman" w:cs="Times New Roman"/>
          <w:i/>
          <w:iCs/>
          <w:color w:val="212121"/>
          <w:sz w:val="24"/>
          <w:szCs w:val="24"/>
          <w:highlight w:val="white"/>
          <w:lang w:val="en-US"/>
        </w:rPr>
        <w:t>Educational Studies in Mathematics</w:t>
      </w:r>
      <w:r w:rsidRPr="00115942">
        <w:rPr>
          <w:rFonts w:ascii="Times New Roman" w:eastAsia="Times New Roman" w:hAnsi="Times New Roman" w:cs="Times New Roman"/>
          <w:color w:val="212121"/>
          <w:sz w:val="24"/>
          <w:szCs w:val="24"/>
          <w:highlight w:val="white"/>
          <w:lang w:val="en-US"/>
        </w:rPr>
        <w:t xml:space="preserve">, </w:t>
      </w:r>
      <w:r w:rsidRPr="00115942">
        <w:rPr>
          <w:rFonts w:ascii="Times New Roman" w:eastAsia="Times New Roman" w:hAnsi="Times New Roman" w:cs="Times New Roman"/>
          <w:i/>
          <w:iCs/>
          <w:color w:val="212121"/>
          <w:sz w:val="24"/>
          <w:szCs w:val="24"/>
          <w:highlight w:val="white"/>
          <w:lang w:val="en-US"/>
        </w:rPr>
        <w:t>47</w:t>
      </w:r>
      <w:r w:rsidRPr="00115942">
        <w:rPr>
          <w:rFonts w:ascii="Times New Roman" w:eastAsia="Times New Roman" w:hAnsi="Times New Roman" w:cs="Times New Roman"/>
          <w:color w:val="212121"/>
          <w:sz w:val="24"/>
          <w:szCs w:val="24"/>
          <w:highlight w:val="white"/>
          <w:lang w:val="en-US"/>
        </w:rPr>
        <w:t>(2), 175–197.</w:t>
      </w:r>
    </w:p>
    <w:p w14:paraId="08CE33E1" w14:textId="77777777" w:rsidR="00115942" w:rsidRPr="00115942" w:rsidRDefault="00115942" w:rsidP="00115942">
      <w:pPr>
        <w:jc w:val="both"/>
        <w:rPr>
          <w:rFonts w:ascii="Times New Roman" w:eastAsia="Times New Roman" w:hAnsi="Times New Roman" w:cs="Times New Roman"/>
          <w:color w:val="212121"/>
          <w:sz w:val="24"/>
          <w:szCs w:val="24"/>
          <w:highlight w:val="white"/>
          <w:lang w:val="en-US"/>
        </w:rPr>
      </w:pPr>
      <w:proofErr w:type="spellStart"/>
      <w:r w:rsidRPr="00115942">
        <w:rPr>
          <w:rFonts w:ascii="Times New Roman" w:eastAsia="Times New Roman" w:hAnsi="Times New Roman" w:cs="Times New Roman"/>
          <w:color w:val="212121"/>
          <w:sz w:val="24"/>
          <w:szCs w:val="24"/>
          <w:highlight w:val="white"/>
          <w:lang w:val="en-US"/>
        </w:rPr>
        <w:lastRenderedPageBreak/>
        <w:t>Noss</w:t>
      </w:r>
      <w:proofErr w:type="spellEnd"/>
      <w:r w:rsidRPr="00115942">
        <w:rPr>
          <w:rFonts w:ascii="Times New Roman" w:eastAsia="Times New Roman" w:hAnsi="Times New Roman" w:cs="Times New Roman"/>
          <w:color w:val="212121"/>
          <w:sz w:val="24"/>
          <w:szCs w:val="24"/>
          <w:highlight w:val="white"/>
          <w:lang w:val="en-US"/>
        </w:rPr>
        <w:t xml:space="preserve">, R. (2002). Mathematical epistemologies at work. </w:t>
      </w:r>
      <w:r w:rsidRPr="00115942">
        <w:rPr>
          <w:rFonts w:ascii="Times New Roman" w:eastAsia="Times New Roman" w:hAnsi="Times New Roman" w:cs="Times New Roman"/>
          <w:i/>
          <w:color w:val="212121"/>
          <w:sz w:val="24"/>
          <w:szCs w:val="24"/>
          <w:highlight w:val="white"/>
          <w:lang w:val="en-US"/>
        </w:rPr>
        <w:t xml:space="preserve">For the Learning of Mathematics, 22(2), </w:t>
      </w:r>
      <w:r w:rsidRPr="00115942">
        <w:rPr>
          <w:rFonts w:ascii="Times New Roman" w:eastAsia="Times New Roman" w:hAnsi="Times New Roman" w:cs="Times New Roman"/>
          <w:color w:val="212121"/>
          <w:sz w:val="24"/>
          <w:szCs w:val="24"/>
          <w:highlight w:val="white"/>
          <w:lang w:val="en-US"/>
        </w:rPr>
        <w:t>2</w:t>
      </w:r>
      <w:r w:rsidRPr="00115942">
        <w:rPr>
          <w:rFonts w:ascii="Times New Roman" w:eastAsia="Times New Roman" w:hAnsi="Times New Roman" w:cs="Times New Roman"/>
          <w:i/>
          <w:color w:val="212121"/>
          <w:sz w:val="24"/>
          <w:szCs w:val="24"/>
          <w:highlight w:val="white"/>
          <w:lang w:val="en-US"/>
        </w:rPr>
        <w:t>–</w:t>
      </w:r>
      <w:r w:rsidRPr="00115942">
        <w:rPr>
          <w:rFonts w:ascii="Times New Roman" w:eastAsia="Times New Roman" w:hAnsi="Times New Roman" w:cs="Times New Roman"/>
          <w:color w:val="212121"/>
          <w:sz w:val="24"/>
          <w:szCs w:val="24"/>
          <w:highlight w:val="white"/>
          <w:lang w:val="en-US"/>
        </w:rPr>
        <w:t>13.</w:t>
      </w:r>
    </w:p>
    <w:p w14:paraId="69A8EAF2" w14:textId="77777777" w:rsidR="00115942" w:rsidRPr="00115942" w:rsidRDefault="00115942" w:rsidP="00115942">
      <w:pPr>
        <w:jc w:val="both"/>
        <w:rPr>
          <w:rFonts w:ascii="Times New Roman" w:eastAsia="Times New Roman" w:hAnsi="Times New Roman" w:cs="Times New Roman"/>
          <w:color w:val="212121"/>
          <w:sz w:val="24"/>
          <w:szCs w:val="24"/>
          <w:highlight w:val="white"/>
          <w:lang w:val="en-US"/>
        </w:rPr>
      </w:pPr>
      <w:proofErr w:type="spellStart"/>
      <w:r w:rsidRPr="00115942">
        <w:rPr>
          <w:rFonts w:ascii="Times New Roman" w:eastAsia="Times New Roman" w:hAnsi="Times New Roman" w:cs="Times New Roman"/>
          <w:color w:val="212121"/>
          <w:sz w:val="24"/>
          <w:szCs w:val="24"/>
          <w:highlight w:val="white"/>
          <w:lang w:val="de-DE"/>
        </w:rPr>
        <w:t>Nunes</w:t>
      </w:r>
      <w:proofErr w:type="spellEnd"/>
      <w:r w:rsidRPr="00115942">
        <w:rPr>
          <w:rFonts w:ascii="Times New Roman" w:eastAsia="Times New Roman" w:hAnsi="Times New Roman" w:cs="Times New Roman"/>
          <w:color w:val="212121"/>
          <w:sz w:val="24"/>
          <w:szCs w:val="24"/>
          <w:highlight w:val="white"/>
          <w:lang w:val="de-DE"/>
        </w:rPr>
        <w:t xml:space="preserve">, T., Schliemann, A. D., &amp; </w:t>
      </w:r>
      <w:proofErr w:type="spellStart"/>
      <w:r w:rsidRPr="00115942">
        <w:rPr>
          <w:rFonts w:ascii="Times New Roman" w:eastAsia="Times New Roman" w:hAnsi="Times New Roman" w:cs="Times New Roman"/>
          <w:color w:val="212121"/>
          <w:sz w:val="24"/>
          <w:szCs w:val="24"/>
          <w:highlight w:val="white"/>
          <w:lang w:val="de-DE"/>
        </w:rPr>
        <w:t>Carraher</w:t>
      </w:r>
      <w:proofErr w:type="spellEnd"/>
      <w:r w:rsidRPr="00115942">
        <w:rPr>
          <w:rFonts w:ascii="Times New Roman" w:eastAsia="Times New Roman" w:hAnsi="Times New Roman" w:cs="Times New Roman"/>
          <w:color w:val="212121"/>
          <w:sz w:val="24"/>
          <w:szCs w:val="24"/>
          <w:highlight w:val="white"/>
          <w:lang w:val="de-DE"/>
        </w:rPr>
        <w:t xml:space="preserve">, D. (1993). </w:t>
      </w:r>
      <w:r w:rsidRPr="00115942">
        <w:rPr>
          <w:rFonts w:ascii="Times New Roman" w:eastAsia="Times New Roman" w:hAnsi="Times New Roman" w:cs="Times New Roman"/>
          <w:i/>
          <w:color w:val="212121"/>
          <w:sz w:val="24"/>
          <w:szCs w:val="24"/>
          <w:highlight w:val="white"/>
          <w:lang w:val="en-US"/>
        </w:rPr>
        <w:t>Street mathematics and school mathematics.</w:t>
      </w:r>
      <w:r w:rsidRPr="00115942">
        <w:rPr>
          <w:rFonts w:ascii="Times New Roman" w:eastAsia="Times New Roman" w:hAnsi="Times New Roman" w:cs="Times New Roman"/>
          <w:color w:val="212121"/>
          <w:sz w:val="24"/>
          <w:szCs w:val="24"/>
          <w:highlight w:val="white"/>
          <w:lang w:val="en-US"/>
        </w:rPr>
        <w:t xml:space="preserve"> Cambridge: Cambridge University Press.</w:t>
      </w:r>
    </w:p>
    <w:p w14:paraId="104A2633" w14:textId="77777777" w:rsidR="00115942" w:rsidRPr="00115942" w:rsidRDefault="00115942" w:rsidP="00115942">
      <w:pPr>
        <w:jc w:val="both"/>
        <w:rPr>
          <w:rFonts w:ascii="Times New Roman" w:eastAsia="Times New Roman" w:hAnsi="Times New Roman" w:cs="Times New Roman"/>
          <w:color w:val="212121"/>
          <w:sz w:val="24"/>
          <w:szCs w:val="24"/>
          <w:highlight w:val="white"/>
          <w:lang w:val="en-US"/>
        </w:rPr>
      </w:pPr>
      <w:proofErr w:type="spellStart"/>
      <w:r w:rsidRPr="00115942">
        <w:rPr>
          <w:rFonts w:ascii="Times New Roman" w:eastAsia="Times New Roman" w:hAnsi="Times New Roman" w:cs="Times New Roman"/>
          <w:color w:val="212121"/>
          <w:sz w:val="24"/>
          <w:szCs w:val="24"/>
          <w:highlight w:val="white"/>
          <w:lang w:val="en-US"/>
        </w:rPr>
        <w:t>Özgün-Koca</w:t>
      </w:r>
      <w:proofErr w:type="spellEnd"/>
      <w:r w:rsidRPr="00115942">
        <w:rPr>
          <w:rFonts w:ascii="Times New Roman" w:eastAsia="Times New Roman" w:hAnsi="Times New Roman" w:cs="Times New Roman"/>
          <w:color w:val="212121"/>
          <w:sz w:val="24"/>
          <w:szCs w:val="24"/>
          <w:highlight w:val="white"/>
          <w:lang w:val="en-US"/>
        </w:rPr>
        <w:t xml:space="preserve">, S., &amp; Edwards, T. (2011) Hands-on, minds-on or both? A discussion of the development of a mathematics activity by using virtual and physical Manipulatives. </w:t>
      </w:r>
      <w:r w:rsidRPr="00115942">
        <w:rPr>
          <w:rFonts w:ascii="Times New Roman" w:eastAsia="Times New Roman" w:hAnsi="Times New Roman" w:cs="Times New Roman"/>
          <w:i/>
          <w:color w:val="212121"/>
          <w:sz w:val="24"/>
          <w:szCs w:val="24"/>
          <w:highlight w:val="white"/>
          <w:lang w:val="en-US"/>
        </w:rPr>
        <w:t>Journal of Computers in Mathematics and Sciences Teaching</w:t>
      </w:r>
      <w:r w:rsidRPr="00115942">
        <w:rPr>
          <w:rFonts w:ascii="Times New Roman" w:eastAsia="Times New Roman" w:hAnsi="Times New Roman" w:cs="Times New Roman"/>
          <w:color w:val="212121"/>
          <w:sz w:val="24"/>
          <w:szCs w:val="24"/>
          <w:highlight w:val="white"/>
          <w:lang w:val="en-US"/>
        </w:rPr>
        <w:t xml:space="preserve">. </w:t>
      </w:r>
      <w:r w:rsidRPr="00115942">
        <w:rPr>
          <w:rFonts w:ascii="Times New Roman" w:eastAsia="Times New Roman" w:hAnsi="Times New Roman" w:cs="Times New Roman"/>
          <w:i/>
          <w:color w:val="212121"/>
          <w:sz w:val="24"/>
          <w:szCs w:val="24"/>
          <w:highlight w:val="white"/>
          <w:lang w:val="en-US"/>
        </w:rPr>
        <w:t>30</w:t>
      </w:r>
      <w:r w:rsidRPr="00115942">
        <w:rPr>
          <w:rFonts w:ascii="Times New Roman" w:eastAsia="Times New Roman" w:hAnsi="Times New Roman" w:cs="Times New Roman"/>
          <w:color w:val="212121"/>
          <w:sz w:val="24"/>
          <w:szCs w:val="24"/>
          <w:highlight w:val="white"/>
          <w:lang w:val="en-US"/>
        </w:rPr>
        <w:t>(4), 389–402.</w:t>
      </w:r>
    </w:p>
    <w:p w14:paraId="34582B89" w14:textId="77777777" w:rsidR="00F5516B" w:rsidRDefault="00F5516B">
      <w:pPr>
        <w:jc w:val="both"/>
        <w:rPr>
          <w:rFonts w:ascii="Times New Roman" w:eastAsia="Times New Roman" w:hAnsi="Times New Roman" w:cs="Times New Roman"/>
          <w:color w:val="212121"/>
          <w:sz w:val="24"/>
          <w:szCs w:val="24"/>
          <w:highlight w:val="white"/>
        </w:rPr>
      </w:pPr>
    </w:p>
    <w:sectPr w:rsidR="00F5516B">
      <w:pgSz w:w="12240" w:h="15840"/>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39900" w14:textId="77777777" w:rsidR="00000000" w:rsidRDefault="008A513B">
      <w:pPr>
        <w:spacing w:after="0" w:line="240" w:lineRule="auto"/>
      </w:pPr>
      <w:r>
        <w:separator/>
      </w:r>
    </w:p>
  </w:endnote>
  <w:endnote w:type="continuationSeparator" w:id="0">
    <w:p w14:paraId="2496690C" w14:textId="77777777" w:rsidR="00000000" w:rsidRDefault="008A5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CDE83" w14:textId="77777777" w:rsidR="00000000" w:rsidRDefault="008A513B">
      <w:pPr>
        <w:spacing w:after="0" w:line="240" w:lineRule="auto"/>
      </w:pPr>
      <w:r>
        <w:separator/>
      </w:r>
    </w:p>
  </w:footnote>
  <w:footnote w:type="continuationSeparator" w:id="0">
    <w:p w14:paraId="577D05D3" w14:textId="77777777" w:rsidR="00000000" w:rsidRDefault="008A513B">
      <w:pPr>
        <w:spacing w:after="0" w:line="240" w:lineRule="auto"/>
      </w:pPr>
      <w:r>
        <w:continuationSeparator/>
      </w:r>
    </w:p>
  </w:footnote>
  <w:footnote w:id="1">
    <w:p w14:paraId="342C3037" w14:textId="3499E54C" w:rsidR="00FC6AE4" w:rsidRPr="008A513B" w:rsidRDefault="00FC6AE4">
      <w:pPr>
        <w:pStyle w:val="Notedebasdepage"/>
        <w:rPr>
          <w:bCs/>
          <w:lang w:val="en-US"/>
        </w:rPr>
      </w:pPr>
      <w:r>
        <w:rPr>
          <w:rStyle w:val="Appelnotedebasdep"/>
        </w:rPr>
        <w:footnoteRef/>
      </w:r>
      <w:r>
        <w:t xml:space="preserve"> Traduction de </w:t>
      </w:r>
      <w:r w:rsidR="008A513B" w:rsidRPr="008A513B">
        <w:rPr>
          <w:b/>
          <w:lang w:val="fr-CA"/>
        </w:rPr>
        <w:t>Jeannotte</w:t>
      </w:r>
      <w:r w:rsidR="008A513B" w:rsidRPr="008A513B">
        <w:rPr>
          <w:lang w:val="fr-CA"/>
        </w:rPr>
        <w:t xml:space="preserve">, D. et Corriveau, C. (2020). </w:t>
      </w:r>
      <w:r w:rsidR="008A513B" w:rsidRPr="008A513B">
        <w:rPr>
          <w:bCs/>
          <w:lang w:val="en-CA"/>
        </w:rPr>
        <w:t xml:space="preserve">Interactions Between Pupils’ Actions and Manipulative Characteristics when Solving an Arithmetical Task. </w:t>
      </w:r>
      <w:r w:rsidR="008A513B" w:rsidRPr="008A513B">
        <w:rPr>
          <w:bCs/>
          <w:i/>
          <w:lang w:val="en-CA"/>
        </w:rPr>
        <w:t>Proceedings of the 11</w:t>
      </w:r>
      <w:r w:rsidR="008A513B" w:rsidRPr="008A513B">
        <w:rPr>
          <w:bCs/>
          <w:i/>
          <w:vertAlign w:val="superscript"/>
          <w:lang w:val="en-CA"/>
        </w:rPr>
        <w:t>th</w:t>
      </w:r>
      <w:r w:rsidR="008A513B" w:rsidRPr="008A513B">
        <w:rPr>
          <w:bCs/>
          <w:i/>
          <w:lang w:val="en-CA"/>
        </w:rPr>
        <w:t xml:space="preserve"> Congress of the European </w:t>
      </w:r>
      <w:r w:rsidR="008A513B" w:rsidRPr="008A513B">
        <w:rPr>
          <w:bCs/>
          <w:i/>
          <w:lang w:val="en-US"/>
        </w:rPr>
        <w:t>Society for Research in Mathematics Education.</w:t>
      </w:r>
      <w:r w:rsidR="008A513B" w:rsidRPr="008A513B">
        <w:rPr>
          <w:bCs/>
          <w:lang w:val="en-US"/>
        </w:rPr>
        <w:t xml:space="preserve"> Utrecht, NL.</w:t>
      </w:r>
    </w:p>
  </w:footnote>
  <w:footnote w:id="2">
    <w:p w14:paraId="34582B8D" w14:textId="77777777" w:rsidR="00F5516B" w:rsidRDefault="008A513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Néologisme formé par mathématiques et réalisation.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B5315"/>
    <w:multiLevelType w:val="multilevel"/>
    <w:tmpl w:val="2E96A1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D2E7116"/>
    <w:multiLevelType w:val="multilevel"/>
    <w:tmpl w:val="75522A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5792B86"/>
    <w:multiLevelType w:val="multilevel"/>
    <w:tmpl w:val="DE563A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69F3B72"/>
    <w:multiLevelType w:val="multilevel"/>
    <w:tmpl w:val="AC7C87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0BE00A0"/>
    <w:multiLevelType w:val="multilevel"/>
    <w:tmpl w:val="435C6F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B3543F3"/>
    <w:multiLevelType w:val="multilevel"/>
    <w:tmpl w:val="0262A7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B5521BF"/>
    <w:multiLevelType w:val="multilevel"/>
    <w:tmpl w:val="B2F038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CE314B4"/>
    <w:multiLevelType w:val="multilevel"/>
    <w:tmpl w:val="CA8860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7123CBA"/>
    <w:multiLevelType w:val="multilevel"/>
    <w:tmpl w:val="D06088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A090723"/>
    <w:multiLevelType w:val="hybridMultilevel"/>
    <w:tmpl w:val="664CF76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6"/>
  </w:num>
  <w:num w:numId="5">
    <w:abstractNumId w:val="8"/>
  </w:num>
  <w:num w:numId="6">
    <w:abstractNumId w:val="7"/>
  </w:num>
  <w:num w:numId="7">
    <w:abstractNumId w:val="0"/>
  </w:num>
  <w:num w:numId="8">
    <w:abstractNumId w:val="1"/>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16B"/>
    <w:rsid w:val="000D6636"/>
    <w:rsid w:val="00115942"/>
    <w:rsid w:val="004832ED"/>
    <w:rsid w:val="008A513B"/>
    <w:rsid w:val="00A361A2"/>
    <w:rsid w:val="00ED46F0"/>
    <w:rsid w:val="00F5516B"/>
    <w:rsid w:val="00FC6AE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82B19"/>
  <w15:docId w15:val="{7BB83F74-8ACC-704B-A30B-9208505F8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Notedebasdepage">
    <w:name w:val="footnote text"/>
    <w:basedOn w:val="Normal"/>
    <w:link w:val="NotedebasdepageCar"/>
    <w:uiPriority w:val="99"/>
    <w:semiHidden/>
    <w:unhideWhenUsed/>
    <w:rsid w:val="00FC6AE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C6AE4"/>
    <w:rPr>
      <w:sz w:val="20"/>
      <w:szCs w:val="20"/>
    </w:rPr>
  </w:style>
  <w:style w:type="character" w:styleId="Appelnotedebasdep">
    <w:name w:val="footnote reference"/>
    <w:basedOn w:val="Policepardfaut"/>
    <w:uiPriority w:val="99"/>
    <w:semiHidden/>
    <w:unhideWhenUsed/>
    <w:rsid w:val="00FC6AE4"/>
    <w:rPr>
      <w:vertAlign w:val="superscript"/>
    </w:rPr>
  </w:style>
  <w:style w:type="paragraph" w:styleId="NormalWeb">
    <w:name w:val="Normal (Web)"/>
    <w:basedOn w:val="Normal"/>
    <w:uiPriority w:val="99"/>
    <w:semiHidden/>
    <w:unhideWhenUsed/>
    <w:rsid w:val="008A513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BF46B-8C8B-4140-AA9A-14740907D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4375</Words>
  <Characters>24064</Characters>
  <Application>Microsoft Office Word</Application>
  <DocSecurity>0</DocSecurity>
  <Lines>200</Lines>
  <Paragraphs>56</Paragraphs>
  <ScaleCrop>false</ScaleCrop>
  <Company/>
  <LinksUpToDate>false</LinksUpToDate>
  <CharactersWithSpaces>28383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Jeannotte, Doris</cp:lastModifiedBy>
  <cp:revision>8</cp:revision>
  <dcterms:created xsi:type="dcterms:W3CDTF">2022-01-19T21:21:00Z</dcterms:created>
  <dcterms:modified xsi:type="dcterms:W3CDTF">2022-01-19T21:27:00Z</dcterms:modified>
</cp:coreProperties>
</file>